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_rels/item1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word/_rels/document.xml.rels" ContentType="application/vnd.openxmlformats-package.relationships+xml"/>
  <Override PartName="/word/footer17.xml" ContentType="application/vnd.openxmlformats-officedocument.wordprocessingml.footer+xml"/>
  <Override PartName="/word/footer8.xml" ContentType="application/vnd.openxmlformats-officedocument.wordprocessingml.footer+xml"/>
  <Override PartName="/word/footer16.xml" ContentType="application/vnd.openxmlformats-officedocument.wordprocessingml.footer+xml"/>
  <Override PartName="/word/footer7.xml" ContentType="application/vnd.openxmlformats-officedocument.wordprocessingml.footer+xml"/>
  <Override PartName="/word/footer15.xml" ContentType="application/vnd.openxmlformats-officedocument.wordprocessingml.footer+xml"/>
  <Override PartName="/word/footer6.xml" ContentType="application/vnd.openxmlformats-officedocument.wordprocessingml.footer+xml"/>
  <Override PartName="/word/footer14.xml" ContentType="application/vnd.openxmlformats-officedocument.wordprocessingml.footer+xml"/>
  <Override PartName="/word/footer5.xml" ContentType="application/vnd.openxmlformats-officedocument.wordprocessingml.footer+xml"/>
  <Override PartName="/word/footer13.xml" ContentType="application/vnd.openxmlformats-officedocument.wordprocessingml.footer+xml"/>
  <Override PartName="/word/footer4.xml" ContentType="application/vnd.openxmlformats-officedocument.wordprocessingml.footer+xml"/>
  <Override PartName="/word/footer12.xml" ContentType="application/vnd.openxmlformats-officedocument.wordprocessingml.footer+xml"/>
  <Override PartName="/word/footer3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settings.xml" ContentType="application/vnd.openxmlformats-officedocument.wordprocessingml.settings+xml"/>
  <Override PartName="/word/footer25.xml" ContentType="application/vnd.openxmlformats-officedocument.wordprocessingml.footer+xml"/>
  <Override PartName="/word/theme/theme1.xml" ContentType="application/vnd.openxmlformats-officedocument.theme+xml"/>
  <Override PartName="/word/footer26.xml" ContentType="application/vnd.openxmlformats-officedocument.wordprocessingml.footer+xml"/>
  <Override PartName="/word/footer22.xml" ContentType="application/vnd.openxmlformats-officedocument.wordprocessingml.footer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footer27.xml" ContentType="application/vnd.openxmlformats-officedocument.wordprocessingml.footer+xml"/>
  <Override PartName="/word/footer21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styles.xml" ContentType="application/vnd.openxmlformats-officedocument.wordprocessingml.styles+xml"/>
  <Override PartName="/word/media/image4.wmf" ContentType="image/x-wmf"/>
  <Override PartName="/word/media/image5.bmp" ContentType="image/bmp"/>
  <Override PartName="/word/media/image1.wmf" ContentType="image/x-wmf"/>
  <Override PartName="/word/media/image2.wmf" ContentType="image/x-wmf"/>
  <Override PartName="/word/media/image3.wmf" ContentType="image/x-wmf"/>
  <Override PartName="/word/document.xml" ContentType="application/vnd.openxmlformats-officedocument.wordprocessingml.document.main+xml"/>
  <Override PartName="/word/embeddings/oleObject4.xlsx" ContentType="application/vnd.openxmlformats-officedocument.spreadsheetml.sheet"/>
  <Override PartName="/word/embeddings/oleObject5.xlsx" ContentType="application/vnd.openxmlformats-officedocument.spreadsheetml.sheet"/>
  <Override PartName="/word/embeddings/oleObject1.xlsx" ContentType="application/vnd.openxmlformats-officedocument.spreadsheetml.sheet"/>
  <Override PartName="/word/embeddings/oleObject2.xlsx" ContentType="application/vnd.openxmlformats-officedocument.spreadsheetml.sheet"/>
  <Override PartName="/word/embeddings/oleObject3.xlsx" ContentType="application/vnd.openxmlformats-officedocument.spreadsheetml.sheet"/>
  <Override PartName="/word/footer1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footer18.xml" ContentType="application/vnd.openxmlformats-officedocument.wordprocessingml.footer+xml"/>
  <Override PartName="/word/footer9.xml" ContentType="application/vnd.openxmlformats-officedocument.wordprocessingml.footer+xml"/>
  <Override PartName="/word/footer1.xml" ContentType="application/vnd.openxmlformats-officedocument.wordprocessingml.footer+xml"/>
  <Override PartName="/word/footer10.xml" ContentType="application/vnd.openxmlformats-officedocument.wordprocessingml.footer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widowControl w:val="false"/>
        <w:tabs>
          <w:tab w:val="clear" w:pos="709"/>
          <w:tab w:val="left" w:pos="426" w:leader="none"/>
        </w:tabs>
        <w:spacing w:lineRule="auto" w:line="240" w:before="0" w:after="0"/>
        <w:jc w:val="right"/>
        <w:rPr/>
      </w:pPr>
      <w:r>
        <w:rPr>
          <w:rStyle w:val="Style15"/>
          <w:rFonts w:ascii="Times New Roman" w:hAnsi="Times New Roman"/>
          <w:iCs/>
          <w:shd w:fill="auto" w:val="clear"/>
        </w:rPr>
        <w:t xml:space="preserve">Приложение № 2 к ТТ </w:t>
      </w:r>
    </w:p>
    <w:p>
      <w:pPr>
        <w:pStyle w:val="ConsPlusNormal1"/>
        <w:widowControl/>
        <w:tabs>
          <w:tab w:val="clear" w:pos="709"/>
          <w:tab w:val="left" w:pos="1260" w:leader="none"/>
        </w:tabs>
        <w:ind w:left="1260" w:hanging="1080"/>
        <w:jc w:val="center"/>
        <w:rPr>
          <w:rFonts w:ascii="Times New Roman" w:hAnsi="Times New Roman" w:cs="Times New Roman"/>
          <w:b/>
          <w:sz w:val="22"/>
          <w:szCs w:val="22"/>
          <w:highlight w:val="none"/>
          <w:shd w:fill="auto" w:val="clear"/>
        </w:rPr>
      </w:pPr>
      <w:r>
        <w:rPr>
          <w:rFonts w:cs="Times New Roman" w:ascii="Times New Roman" w:hAnsi="Times New Roman"/>
          <w:b/>
          <w:sz w:val="22"/>
          <w:szCs w:val="22"/>
          <w:shd w:fill="auto" w:val="clear"/>
        </w:rPr>
      </w:r>
    </w:p>
    <w:p>
      <w:pPr>
        <w:pStyle w:val="ConsPlusNormal1"/>
        <w:widowControl/>
        <w:tabs>
          <w:tab w:val="clear" w:pos="709"/>
          <w:tab w:val="left" w:pos="1260" w:leader="none"/>
        </w:tabs>
        <w:ind w:left="1260" w:hanging="1080"/>
        <w:jc w:val="center"/>
        <w:rPr>
          <w:highlight w:val="none"/>
          <w:shd w:fill="auto" w:val="clear"/>
        </w:rPr>
      </w:pPr>
      <w:r>
        <w:rPr>
          <w:rFonts w:cs="Times New Roman" w:ascii="Times New Roman" w:hAnsi="Times New Roman"/>
          <w:b/>
          <w:sz w:val="24"/>
          <w:szCs w:val="24"/>
          <w:shd w:fill="auto" w:val="clear"/>
        </w:rPr>
        <w:t>Требования к оформлению и составлению</w:t>
      </w:r>
    </w:p>
    <w:p>
      <w:pPr>
        <w:pStyle w:val="ConsPlusNormal1"/>
        <w:widowControl/>
        <w:tabs>
          <w:tab w:val="clear" w:pos="709"/>
          <w:tab w:val="left" w:pos="1620" w:leader="none"/>
        </w:tabs>
        <w:ind w:firstLine="180"/>
        <w:jc w:val="center"/>
        <w:rPr>
          <w:highlight w:val="none"/>
          <w:shd w:fill="auto" w:val="clear"/>
        </w:rPr>
      </w:pPr>
      <w:r>
        <w:rPr>
          <w:rFonts w:cs="Times New Roman" w:ascii="Times New Roman" w:hAnsi="Times New Roman"/>
          <w:b/>
          <w:sz w:val="24"/>
          <w:szCs w:val="24"/>
          <w:shd w:fill="auto" w:val="clear"/>
        </w:rPr>
        <w:t xml:space="preserve"> </w:t>
      </w:r>
      <w:r>
        <w:rPr>
          <w:rFonts w:cs="Times New Roman" w:ascii="Times New Roman" w:hAnsi="Times New Roman"/>
          <w:b/>
          <w:sz w:val="24"/>
          <w:szCs w:val="24"/>
          <w:shd w:fill="auto" w:val="clear"/>
        </w:rPr>
        <w:t>сметной документации на строительство и реконструкцию объектов капитального строительства</w:t>
      </w:r>
    </w:p>
    <w:p>
      <w:pPr>
        <w:pStyle w:val="ConsPlusNormal1"/>
        <w:widowControl/>
        <w:tabs>
          <w:tab w:val="clear" w:pos="709"/>
          <w:tab w:val="left" w:pos="1620" w:leader="none"/>
        </w:tabs>
        <w:ind w:firstLine="180"/>
        <w:jc w:val="both"/>
        <w:rPr>
          <w:rFonts w:ascii="Times New Roman" w:hAnsi="Times New Roman" w:cs="Times New Roman"/>
          <w:b/>
          <w:sz w:val="24"/>
          <w:szCs w:val="24"/>
          <w:highlight w:val="none"/>
          <w:shd w:fill="auto" w:val="clear"/>
        </w:rPr>
      </w:pPr>
      <w:r>
        <w:rPr>
          <w:rFonts w:cs="Times New Roman" w:ascii="Times New Roman" w:hAnsi="Times New Roman"/>
          <w:b/>
          <w:sz w:val="24"/>
          <w:szCs w:val="24"/>
          <w:shd w:fill="auto" w:val="clear"/>
        </w:rPr>
      </w:r>
    </w:p>
    <w:p>
      <w:pPr>
        <w:pStyle w:val="ConsPlusNormal1"/>
        <w:widowControl/>
        <w:numPr>
          <w:ilvl w:val="0"/>
          <w:numId w:val="6"/>
        </w:numPr>
        <w:tabs>
          <w:tab w:val="clear" w:pos="709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  <w:t>Основные условия ценообразования изложены в приложении № 4 к настоящим требованиям и являются неотъемлемой частью требований к составлению сметной документации.</w:t>
      </w:r>
    </w:p>
    <w:p>
      <w:pPr>
        <w:pStyle w:val="ConsPlusNormal1"/>
        <w:widowControl/>
        <w:numPr>
          <w:ilvl w:val="0"/>
          <w:numId w:val="6"/>
        </w:numPr>
        <w:tabs>
          <w:tab w:val="clear" w:pos="709"/>
          <w:tab w:val="left" w:pos="1134" w:leader="none"/>
        </w:tabs>
        <w:spacing w:before="40" w:after="40"/>
        <w:ind w:left="0"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>Использование</w:t>
      </w:r>
      <w:r>
        <w:rPr>
          <w:rFonts w:ascii="Times New Roman" w:hAnsi="Times New Roman"/>
          <w:sz w:val="24"/>
          <w:szCs w:val="24"/>
          <w:shd w:fill="auto" w:val="clear"/>
        </w:rPr>
        <w:t xml:space="preserve"> нормативов ценообразования, не зарегистрированных и не вошедших в ФРСН, </w:t>
      </w:r>
      <w:r>
        <w:rPr>
          <w:rFonts w:ascii="Times New Roman" w:hAnsi="Times New Roman"/>
          <w:b/>
          <w:sz w:val="24"/>
          <w:szCs w:val="24"/>
          <w:u w:val="single"/>
          <w:shd w:fill="auto" w:val="clear"/>
        </w:rPr>
        <w:t>не допускается</w:t>
      </w:r>
      <w:r>
        <w:rPr>
          <w:rFonts w:ascii="Times New Roman" w:hAnsi="Times New Roman"/>
          <w:sz w:val="24"/>
          <w:szCs w:val="24"/>
          <w:shd w:fill="auto" w:val="clear"/>
        </w:rPr>
        <w:t>, кроме случаев, прямо указанных в настоящих требованиях.</w:t>
      </w:r>
    </w:p>
    <w:p>
      <w:pPr>
        <w:pStyle w:val="ConsPlusNormal1"/>
        <w:widowControl/>
        <w:numPr>
          <w:ilvl w:val="0"/>
          <w:numId w:val="6"/>
        </w:numPr>
        <w:tabs>
          <w:tab w:val="clear" w:pos="709"/>
          <w:tab w:val="left" w:pos="1134" w:leader="none"/>
        </w:tabs>
        <w:spacing w:before="40" w:after="40"/>
        <w:ind w:left="0"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>При составлении смет руководствоваться Методикой определения сметной стоимости строительства, реконструкции, капитального ремонта, сноса объектов капитального строительства, работ по сохранению объектов культурного наследия (памятников истории и культуры) народов Российской Федерации на территории Российской Федерации», введенной в действие Приказом Министерства строительства и ЖКХ РФ от 04.08.2020 № 421/пр. (далее - Методикой определения сметной стоимости строительства), с учетом изменений и дополнений, а так же Методикой определения сметной стоимости строительства с применением федеральных единичных расценок и их отдельных составляющих, утверждённой Приказом Министерства строительства и ЖКХ РФ от 08.08.2022г № 648/пр. с учетом изменений и дополнений.</w:t>
      </w:r>
    </w:p>
    <w:p>
      <w:pPr>
        <w:pStyle w:val="Xmsolistparagraph"/>
        <w:numPr>
          <w:ilvl w:val="0"/>
          <w:numId w:val="6"/>
        </w:numPr>
        <w:shd w:val="clear" w:color="auto" w:fill="FFFFFF"/>
        <w:tabs>
          <w:tab w:val="clear" w:pos="709"/>
          <w:tab w:val="left" w:pos="1134" w:leader="none"/>
        </w:tabs>
        <w:spacing w:beforeAutospacing="0" w:before="0" w:afterAutospacing="0" w:after="0"/>
        <w:ind w:left="0" w:firstLine="567"/>
        <w:jc w:val="both"/>
        <w:rPr>
          <w:highlight w:val="none"/>
          <w:shd w:fill="auto" w:val="clear"/>
        </w:rPr>
      </w:pPr>
      <w:r>
        <w:rPr>
          <w:color w:val="000000"/>
          <w:shd w:fill="auto" w:val="clear"/>
        </w:rPr>
        <w:t>Сметная цена материальных ресурсов и (или) оборудования (далее –МТР), закупаемых на территории региона субъекта Российской Федерации,</w:t>
      </w:r>
      <w:r>
        <w:rPr>
          <w:color w:val="1F497D"/>
          <w:shd w:fill="auto" w:val="clear"/>
        </w:rPr>
        <w:t xml:space="preserve"> </w:t>
      </w:r>
      <w:r>
        <w:rPr>
          <w:color w:val="000000"/>
          <w:shd w:fill="auto" w:val="clear"/>
        </w:rPr>
        <w:t>определяется в базисном уровне цен по состоянию на 01.01.2022 с использованием ФСБЦ-2022, индексов по группам однородных строительных ресурсов, размещенных во ФГИС ЦС по субъекту Российской Федерации, в котором расположен объект строительства.</w:t>
      </w:r>
    </w:p>
    <w:p>
      <w:pPr>
        <w:pStyle w:val="Normal"/>
        <w:tabs>
          <w:tab w:val="clear" w:pos="709"/>
          <w:tab w:val="left" w:pos="284" w:leader="none"/>
          <w:tab w:val="left" w:pos="1134" w:leader="none"/>
        </w:tabs>
        <w:spacing w:before="0" w:after="0"/>
        <w:ind w:firstLine="567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При отсутствии информации о сметных ценах в ФГИС ЦС и ФССЦ по материальным ресурсам и оборудованию, их сметная цена определяются по наиболее экономичному варианту, определенному на основании сбора информации о текущих ценах (далее - конъюнктурный анализ) в соответствии с Приложении № 2 к настоящим требованиям.</w:t>
      </w:r>
    </w:p>
    <w:p>
      <w:pPr>
        <w:pStyle w:val="ConsPlusNormal1"/>
        <w:numPr>
          <w:ilvl w:val="0"/>
          <w:numId w:val="6"/>
        </w:numPr>
        <w:tabs>
          <w:tab w:val="clear" w:pos="709"/>
          <w:tab w:val="left" w:pos="284" w:leader="none"/>
          <w:tab w:val="left" w:pos="1134" w:leader="none"/>
        </w:tabs>
        <w:spacing w:before="40" w:after="40"/>
        <w:ind w:left="0"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  <w:t>При определении сметной стоимости в 2-х уровнях цен (текущем и базисном), стоимость указанных материальных ресурсов и оборудования, определяется в базисном уровне цен как отношение их стоимости в текущем уровне цен к соответствующим индексам изменения сметной стоимости, примененным при составлении сметной документации.</w:t>
      </w:r>
    </w:p>
    <w:p>
      <w:pPr>
        <w:pStyle w:val="ListParagraph"/>
        <w:numPr>
          <w:ilvl w:val="0"/>
          <w:numId w:val="6"/>
        </w:numPr>
        <w:tabs>
          <w:tab w:val="left" w:pos="709" w:leader="none"/>
          <w:tab w:val="left" w:pos="1134" w:leader="none"/>
        </w:tabs>
        <w:spacing w:lineRule="auto" w:line="240" w:before="40" w:after="40"/>
        <w:ind w:left="0" w:firstLine="567"/>
        <w:contextualSpacing w:val="false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Затраты на эксплуатацию строительной техники, не учтенной нормами и расценками, включенными в ФРСН, определяются Методами, предусмотренными Методикой ПЦ (методы без использования сметных нормативов) и включаются в Главу 9 ССР</w:t>
      </w:r>
      <w:r>
        <w:rPr>
          <w:rFonts w:ascii="Times New Roman" w:hAnsi="Times New Roman"/>
          <w:b/>
          <w:color w:val="FF0000"/>
          <w:sz w:val="24"/>
          <w:szCs w:val="24"/>
          <w:shd w:fill="auto" w:val="clear"/>
        </w:rPr>
        <w:t>.</w:t>
      </w:r>
    </w:p>
    <w:p>
      <w:pPr>
        <w:pStyle w:val="ConsPlusNormal1"/>
        <w:widowControl/>
        <w:numPr>
          <w:ilvl w:val="0"/>
          <w:numId w:val="6"/>
        </w:numPr>
        <w:tabs>
          <w:tab w:val="clear" w:pos="709"/>
          <w:tab w:val="left" w:pos="567" w:leader="none"/>
          <w:tab w:val="left" w:pos="1134" w:leader="none"/>
        </w:tabs>
        <w:spacing w:before="40" w:after="40"/>
        <w:ind w:left="0"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  <w:t>При составлении сметной документации корректировка наименования работ, принятой расценки недопустима. При необходимости, вся дополнительная информация указывается в скобках, после указания наименования расценки (</w:t>
      </w:r>
      <w:r>
        <w:rPr>
          <w:rFonts w:cs="Times New Roman" w:ascii="Times New Roman" w:hAnsi="Times New Roman"/>
          <w:i/>
          <w:color w:val="000000"/>
          <w:sz w:val="24"/>
          <w:szCs w:val="24"/>
          <w:shd w:fill="auto" w:val="clear"/>
        </w:rPr>
        <w:t>например, Разборка, очистка, замена уплотнения, сборка крышки ванны подшипника: диаметр шейки вала свыше 0.95 до 1,5 м (диаметр шейки вала – 1.3 м), л</w:t>
      </w: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  <w:t xml:space="preserve">ибо указывается в примечании, через дополнительную информацию </w:t>
      </w:r>
      <w:r>
        <w:rPr>
          <w:rFonts w:cs="Times New Roman" w:ascii="Times New Roman" w:hAnsi="Times New Roman"/>
          <w:color w:val="000000"/>
          <w:sz w:val="24"/>
          <w:szCs w:val="24"/>
          <w:shd w:fill="auto" w:val="clear"/>
          <w:lang w:val="en-US"/>
        </w:rPr>
        <w:t>(в ПК Гранд-Смета).</w:t>
      </w:r>
    </w:p>
    <w:p>
      <w:pPr>
        <w:pStyle w:val="ListParagraph"/>
        <w:numPr>
          <w:ilvl w:val="0"/>
          <w:numId w:val="6"/>
        </w:numPr>
        <w:tabs>
          <w:tab w:val="left" w:pos="709" w:leader="none"/>
          <w:tab w:val="left" w:pos="1134" w:leader="none"/>
          <w:tab w:val="left" w:pos="1276" w:leader="none"/>
        </w:tabs>
        <w:spacing w:lineRule="auto" w:line="240" w:before="40" w:after="40"/>
        <w:ind w:left="0" w:firstLine="567"/>
        <w:contextualSpacing w:val="false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>При формировании сметной стоимости в ЛСР (ЛС) отдельно выделяется сметная стоимость по видам оборудования: инженерное; технологическое; лабораторное; транспортные средства; инструмент для технологических процессов; производственный и хозяйственный инвентарь, в т.ч. мебель.</w:t>
      </w:r>
    </w:p>
    <w:p>
      <w:pPr>
        <w:pStyle w:val="ListParagraph"/>
        <w:numPr>
          <w:ilvl w:val="0"/>
          <w:numId w:val="6"/>
        </w:numPr>
        <w:tabs>
          <w:tab w:val="left" w:pos="709" w:leader="none"/>
          <w:tab w:val="left" w:pos="1134" w:leader="none"/>
          <w:tab w:val="left" w:pos="1276" w:leader="none"/>
        </w:tabs>
        <w:spacing w:lineRule="auto" w:line="240" w:before="40" w:after="40"/>
        <w:ind w:left="0" w:firstLine="567"/>
        <w:contextualSpacing w:val="false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При использовании в сметах коэффициентов и лимитированных затрат указывать обоснование из технической части, вводных указаний сборников или других нормативных документов и приложений к ним.</w:t>
      </w:r>
    </w:p>
    <w:p>
      <w:pPr>
        <w:pStyle w:val="ListParagraph"/>
        <w:numPr>
          <w:ilvl w:val="0"/>
          <w:numId w:val="6"/>
        </w:numPr>
        <w:tabs>
          <w:tab w:val="left" w:pos="709" w:leader="none"/>
          <w:tab w:val="left" w:pos="1134" w:leader="none"/>
          <w:tab w:val="left" w:pos="1276" w:leader="none"/>
        </w:tabs>
        <w:spacing w:lineRule="auto" w:line="240" w:before="40" w:after="40"/>
        <w:ind w:left="0" w:firstLine="567"/>
        <w:contextualSpacing w:val="false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>Поправочные коэффициенты из технической части к расценкам (например, на демонтаж или для учета особых условий выполнения работ) учитываются индивидуально для каждой позиции и в выходных формах при выгрузке в формат «Excel» и указываются попозиционно.</w:t>
      </w:r>
      <w:r>
        <w:rPr>
          <w:rFonts w:ascii="Times New Roman" w:hAnsi="Times New Roman"/>
          <w:color w:val="FF0000"/>
          <w:sz w:val="24"/>
          <w:szCs w:val="24"/>
          <w:shd w:fill="auto" w:val="clear"/>
        </w:rPr>
        <w:t xml:space="preserve"> </w:t>
      </w:r>
      <w:r>
        <w:rPr>
          <w:rFonts w:ascii="Times New Roman" w:hAnsi="Times New Roman"/>
          <w:sz w:val="24"/>
          <w:szCs w:val="24"/>
          <w:shd w:fill="auto" w:val="clear"/>
        </w:rPr>
        <w:t>Коэффициенты, учитывающие усложняющие факторы и условия производства работ, могут применяться одновременно с другими коэффициентами, предусмотренными сметными нормативами, включенными в ФРСН. При одновременном применении коэффициенты перемножаются, результат округляется до семи знаков после запятой.</w:t>
      </w:r>
    </w:p>
    <w:p>
      <w:pPr>
        <w:pStyle w:val="ListParagraph"/>
        <w:numPr>
          <w:ilvl w:val="0"/>
          <w:numId w:val="6"/>
        </w:numPr>
        <w:tabs>
          <w:tab w:val="left" w:pos="284" w:leader="none"/>
          <w:tab w:val="left" w:pos="709" w:leader="none"/>
          <w:tab w:val="left" w:pos="1134" w:leader="none"/>
          <w:tab w:val="left" w:pos="1276" w:leader="none"/>
        </w:tabs>
        <w:spacing w:lineRule="auto" w:line="240" w:before="40" w:after="40"/>
        <w:ind w:left="0" w:firstLine="567"/>
        <w:contextualSpacing w:val="false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>При внесении изменений в сметную документацию разрабатывается сводный сметный расчет, определяющий общую сметную стоимость строительства с учетом произведенных изменений проектной и (или) иной технической документации на полный объем работ с учетом объемов корректировки (исключаемых и дополнительных). Локальные сметные расчеты (сметы) разрабатываются отдельно на исключаемые и дополнительные объемы работ.</w:t>
      </w:r>
    </w:p>
    <w:p>
      <w:pPr>
        <w:pStyle w:val="ListParagraph"/>
        <w:numPr>
          <w:ilvl w:val="0"/>
          <w:numId w:val="6"/>
        </w:numPr>
        <w:tabs>
          <w:tab w:val="left" w:pos="284" w:leader="none"/>
          <w:tab w:val="left" w:pos="709" w:leader="none"/>
          <w:tab w:val="left" w:pos="1134" w:leader="none"/>
          <w:tab w:val="left" w:pos="1276" w:leader="none"/>
        </w:tabs>
        <w:spacing w:lineRule="auto" w:line="240" w:before="40" w:after="40"/>
        <w:ind w:left="0" w:firstLine="567"/>
        <w:contextualSpacing w:val="false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 xml:space="preserve">В </w:t>
      </w:r>
      <w:r>
        <w:rPr>
          <w:rFonts w:ascii="Times New Roman" w:hAnsi="Times New Roman"/>
          <w:color w:val="000000"/>
          <w:sz w:val="24"/>
          <w:szCs w:val="24"/>
          <w:shd w:fill="auto" w:val="clear"/>
        </w:rPr>
        <w:t>ЛСР</w:t>
      </w:r>
      <w:r>
        <w:rPr>
          <w:rFonts w:ascii="Times New Roman" w:hAnsi="Times New Roman"/>
          <w:sz w:val="24"/>
          <w:szCs w:val="24"/>
          <w:shd w:fill="auto" w:val="clear"/>
        </w:rPr>
        <w:t xml:space="preserve"> (ЛС) указывать величину накладных расходов по видам строительных, ремонтно-строительных, монтажных и пусконаладочных работ, на основании нормативных документов, внесенных в ФРСН.</w:t>
      </w:r>
    </w:p>
    <w:p>
      <w:pPr>
        <w:pStyle w:val="ListParagraph"/>
        <w:numPr>
          <w:ilvl w:val="0"/>
          <w:numId w:val="6"/>
        </w:numPr>
        <w:tabs>
          <w:tab w:val="left" w:pos="284" w:leader="none"/>
          <w:tab w:val="left" w:pos="709" w:leader="none"/>
          <w:tab w:val="left" w:pos="1134" w:leader="none"/>
          <w:tab w:val="left" w:pos="1276" w:leader="none"/>
        </w:tabs>
        <w:spacing w:lineRule="auto" w:line="240" w:before="40" w:after="40"/>
        <w:ind w:left="0" w:firstLine="567"/>
        <w:contextualSpacing w:val="false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 xml:space="preserve">В </w:t>
      </w:r>
      <w:r>
        <w:rPr>
          <w:rFonts w:ascii="Times New Roman" w:hAnsi="Times New Roman"/>
          <w:color w:val="000000"/>
          <w:sz w:val="24"/>
          <w:szCs w:val="24"/>
          <w:shd w:fill="auto" w:val="clear"/>
        </w:rPr>
        <w:t>ЛСР</w:t>
      </w:r>
      <w:r>
        <w:rPr>
          <w:rFonts w:ascii="Times New Roman" w:hAnsi="Times New Roman"/>
          <w:sz w:val="24"/>
          <w:szCs w:val="24"/>
          <w:shd w:fill="auto" w:val="clear"/>
        </w:rPr>
        <w:t xml:space="preserve"> (ЛС) указывать величину сметной прибыли по видам строительных, ремонтно-строительных, монтажных и пусконаладочных работ, на основании актуальных нормативных документов, внесенных в ФРСН.</w:t>
      </w:r>
    </w:p>
    <w:p>
      <w:pPr>
        <w:pStyle w:val="ListParagraph"/>
        <w:numPr>
          <w:ilvl w:val="0"/>
          <w:numId w:val="6"/>
        </w:numPr>
        <w:tabs>
          <w:tab w:val="left" w:pos="284" w:leader="none"/>
          <w:tab w:val="left" w:pos="709" w:leader="none"/>
          <w:tab w:val="left" w:pos="1134" w:leader="none"/>
          <w:tab w:val="left" w:pos="1276" w:leader="none"/>
        </w:tabs>
        <w:spacing w:lineRule="auto" w:line="240" w:before="40" w:after="40"/>
        <w:ind w:left="0" w:firstLine="567"/>
        <w:contextualSpacing w:val="false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>Понижающий коэффициент начисляется в локальных сметах единым индексом в итогах (после начисления лимитированных затрат в случае составления одной сметы). При этом, понижающий коэффициент, указывается в размере не более 7-ми знаков после запятой.</w:t>
      </w:r>
    </w:p>
    <w:p>
      <w:pPr>
        <w:pStyle w:val="ListParagraph"/>
        <w:numPr>
          <w:ilvl w:val="0"/>
          <w:numId w:val="6"/>
        </w:numPr>
        <w:tabs>
          <w:tab w:val="left" w:pos="284" w:leader="none"/>
          <w:tab w:val="left" w:pos="709" w:leader="none"/>
          <w:tab w:val="left" w:pos="1134" w:leader="none"/>
          <w:tab w:val="left" w:pos="1276" w:leader="none"/>
        </w:tabs>
        <w:spacing w:lineRule="auto" w:line="240" w:before="40" w:after="40"/>
        <w:ind w:left="0" w:firstLine="567"/>
        <w:contextualSpacing w:val="false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>Сметная</w:t>
      </w:r>
      <w:r>
        <w:rPr>
          <w:rFonts w:ascii="Times New Roman" w:hAnsi="Times New Roman"/>
          <w:sz w:val="24"/>
          <w:szCs w:val="24"/>
          <w:shd w:fill="auto" w:val="clear"/>
        </w:rPr>
        <w:t xml:space="preserve"> стоимость пусконаладочных работ определяется на основании утвержденных заказчиком программы и графика. Расчет стоимости пусконаладочных работ составлять с применением сметных нормативов, включенных в ФРСН. При определении сметной стоимости полного комплекса пусконаладочных работ на основании раздела </w:t>
      </w:r>
      <w:r>
        <w:rPr>
          <w:rFonts w:ascii="Times New Roman" w:hAnsi="Times New Roman"/>
          <w:sz w:val="24"/>
          <w:szCs w:val="24"/>
          <w:shd w:fill="auto" w:val="clear"/>
          <w:lang w:val="en-US"/>
        </w:rPr>
        <w:t>VII</w:t>
      </w:r>
      <w:r>
        <w:rPr>
          <w:rFonts w:ascii="Times New Roman" w:hAnsi="Times New Roman"/>
          <w:sz w:val="24"/>
          <w:szCs w:val="24"/>
          <w:shd w:fill="auto" w:val="clear"/>
        </w:rPr>
        <w:t xml:space="preserve">. Методики определения сметной стоимости строительства: </w:t>
      </w:r>
    </w:p>
    <w:p>
      <w:pPr>
        <w:pStyle w:val="ConsPlusNormal1"/>
        <w:numPr>
          <w:ilvl w:val="0"/>
          <w:numId w:val="4"/>
        </w:numPr>
        <w:tabs>
          <w:tab w:val="left" w:pos="709" w:leader="none"/>
          <w:tab w:val="left" w:pos="1134" w:leader="none"/>
        </w:tabs>
        <w:spacing w:before="40" w:after="40"/>
        <w:ind w:left="0"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>Затраты на проведение пусконаладочных работ «вхолостую» по объектам производственного и непроизводственного назначения, связанных с получением дохода от реализации товаров (услуг) включаются в Главу 9 «Прочие работы и затраты» (графы 7 и 8) ССР. В соответствии с заданием Заказчика и при обосновании программами ПНР (комплексного опробования оборудования), в сметной стоимости ПНР дополнительно могут учитываться: стоимость материальных, энергетических ресурсов, сырья и полуфабрикатов, используемых при проведении ПНР «вхолостую».</w:t>
      </w:r>
    </w:p>
    <w:p>
      <w:pPr>
        <w:pStyle w:val="ConsPlusNormal1"/>
        <w:numPr>
          <w:ilvl w:val="0"/>
          <w:numId w:val="4"/>
        </w:numPr>
        <w:tabs>
          <w:tab w:val="left" w:pos="709" w:leader="none"/>
          <w:tab w:val="left" w:pos="1134" w:leader="none"/>
        </w:tabs>
        <w:spacing w:before="40" w:after="40"/>
        <w:ind w:left="0"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>Пусконаладочные работы «под нагрузкой» для объектов производственного и непроизводственного назначения, связанных с получением дохода от реализации товаров (услуг) не относятся на сметную стоимость строительства и в сметной документации не учитываются. Исключением являются ПНР на особо опасных, технически сложных и уникальных объектах капитального строительства, где необходимость учета таких затрат определяется заказчиком.</w:t>
      </w:r>
    </w:p>
    <w:p>
      <w:pPr>
        <w:pStyle w:val="ConsPlusNormal1"/>
        <w:tabs>
          <w:tab w:val="left" w:pos="709" w:leader="none"/>
          <w:tab w:val="left" w:pos="1134" w:leader="none"/>
        </w:tabs>
        <w:spacing w:before="40" w:after="40"/>
        <w:ind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Данные работы оформляются отдельными локальными сметами в соответствии </w:t>
      </w: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  <w:t xml:space="preserve">с Приложением № 1.5 к Требованиям по оформлению и составлению сметной документации на выполнение строительно-монтажных работ по строительству и реконструкции объектов капитального строительства и включаются в ССР. </w:t>
      </w:r>
    </w:p>
    <w:p>
      <w:pPr>
        <w:pStyle w:val="ListParagraph"/>
        <w:numPr>
          <w:ilvl w:val="0"/>
          <w:numId w:val="6"/>
        </w:numPr>
        <w:tabs>
          <w:tab w:val="clear" w:pos="709"/>
          <w:tab w:val="left" w:pos="1134" w:leader="none"/>
        </w:tabs>
        <w:spacing w:lineRule="auto" w:line="240" w:before="40" w:after="40"/>
        <w:ind w:left="0" w:firstLine="567"/>
        <w:contextualSpacing w:val="false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В ЛС на ПНР коэффициенты, учитывающие условия производства работ, начисляются только на те этапы работ, которые фактически производятся в данных условиях. Долю работ в общих затратах, для начисления коэффициента, принимать в соответствии со структурой пусконаладочных работ, приведенной в Общих положениях сборников на ПНР.</w:t>
      </w:r>
    </w:p>
    <w:p>
      <w:pPr>
        <w:pStyle w:val="ListParagraph"/>
        <w:numPr>
          <w:ilvl w:val="0"/>
          <w:numId w:val="6"/>
        </w:numPr>
        <w:tabs>
          <w:tab w:val="left" w:pos="709" w:leader="none"/>
          <w:tab w:val="left" w:pos="1134" w:leader="none"/>
          <w:tab w:val="left" w:pos="1276" w:leader="none"/>
        </w:tabs>
        <w:spacing w:lineRule="auto" w:line="240" w:before="40" w:after="40"/>
        <w:ind w:left="0" w:firstLine="567"/>
        <w:contextualSpacing w:val="false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При определении сметных затрат на демонтаж строительных конструкций и оборудования стоимость погрузки, перевозки (от строительной площадки до места утилизации или складирования) и разгрузки строительного мусора и материалов, полученных при разборке строительных конструкций и оборудования, следует учитывать дополнительно, на основании проектной и (или) иной технической документации, проекта организации работ по сносу объекта капитального строительства.</w:t>
      </w:r>
    </w:p>
    <w:p>
      <w:pPr>
        <w:pStyle w:val="ListParagraph"/>
        <w:numPr>
          <w:ilvl w:val="0"/>
          <w:numId w:val="6"/>
        </w:numPr>
        <w:tabs>
          <w:tab w:val="left" w:pos="709" w:leader="none"/>
          <w:tab w:val="left" w:pos="1134" w:leader="none"/>
          <w:tab w:val="left" w:pos="1276" w:leader="none"/>
        </w:tabs>
        <w:spacing w:lineRule="auto" w:line="240" w:before="40" w:after="40"/>
        <w:ind w:left="0" w:firstLine="567"/>
        <w:contextualSpacing w:val="false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 xml:space="preserve">В </w:t>
      </w:r>
      <w:r>
        <w:rPr>
          <w:rFonts w:ascii="Times New Roman" w:hAnsi="Times New Roman"/>
          <w:color w:val="000000"/>
          <w:sz w:val="24"/>
          <w:szCs w:val="24"/>
          <w:shd w:fill="auto" w:val="clear"/>
        </w:rPr>
        <w:t>локальных</w:t>
      </w:r>
      <w:r>
        <w:rPr>
          <w:rFonts w:ascii="Times New Roman" w:hAnsi="Times New Roman"/>
          <w:sz w:val="24"/>
          <w:szCs w:val="24"/>
          <w:shd w:fill="auto" w:val="clear"/>
        </w:rPr>
        <w:t xml:space="preserve"> сметных расчетах построчные и итоговые суммы </w:t>
      </w:r>
      <w:r>
        <w:rPr>
          <w:rFonts w:ascii="Times New Roman" w:hAnsi="Times New Roman"/>
          <w:b/>
          <w:sz w:val="24"/>
          <w:szCs w:val="24"/>
          <w:u w:val="single"/>
          <w:shd w:fill="auto" w:val="clear"/>
        </w:rPr>
        <w:t>округлять:</w:t>
      </w:r>
    </w:p>
    <w:p>
      <w:pPr>
        <w:pStyle w:val="ConsPlusNormal1"/>
        <w:numPr>
          <w:ilvl w:val="0"/>
          <w:numId w:val="4"/>
        </w:numPr>
        <w:tabs>
          <w:tab w:val="left" w:pos="709" w:leader="none"/>
          <w:tab w:val="left" w:pos="1134" w:leader="none"/>
        </w:tabs>
        <w:spacing w:before="40" w:after="40"/>
        <w:ind w:left="0"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при ресурсно-индексном и ресурсным методах, а также в сметных расчетах на отдельные виды затрат - в рублях </w:t>
      </w:r>
      <w:r>
        <w:rPr>
          <w:rFonts w:cs="Times New Roman" w:ascii="Times New Roman" w:hAnsi="Times New Roman"/>
          <w:b/>
          <w:sz w:val="24"/>
          <w:szCs w:val="24"/>
          <w:shd w:fill="auto" w:val="clear"/>
        </w:rPr>
        <w:t>до целых единиц</w:t>
      </w:r>
      <w:r>
        <w:rPr>
          <w:rFonts w:cs="Times New Roman" w:ascii="Times New Roman" w:hAnsi="Times New Roman"/>
          <w:sz w:val="24"/>
          <w:szCs w:val="24"/>
          <w:shd w:fill="auto" w:val="clear"/>
        </w:rPr>
        <w:t>;</w:t>
      </w:r>
    </w:p>
    <w:p>
      <w:pPr>
        <w:pStyle w:val="ConsPlusNormal1"/>
        <w:numPr>
          <w:ilvl w:val="0"/>
          <w:numId w:val="4"/>
        </w:numPr>
        <w:tabs>
          <w:tab w:val="left" w:pos="709" w:leader="none"/>
          <w:tab w:val="left" w:pos="1134" w:leader="none"/>
        </w:tabs>
        <w:spacing w:before="40" w:after="40"/>
        <w:ind w:left="0"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>в объектных сметных расчетах (сметах), сводном сметном расчете и сводке затрат - в рублях с до двух знаков после запятой. Величину НДС не указывать.</w:t>
      </w:r>
    </w:p>
    <w:p>
      <w:pPr>
        <w:pStyle w:val="ListParagraph"/>
        <w:numPr>
          <w:ilvl w:val="0"/>
          <w:numId w:val="6"/>
        </w:numPr>
        <w:tabs>
          <w:tab w:val="left" w:pos="709" w:leader="none"/>
          <w:tab w:val="left" w:pos="1134" w:leader="none"/>
          <w:tab w:val="left" w:pos="1276" w:leader="none"/>
        </w:tabs>
        <w:spacing w:lineRule="auto" w:line="240" w:before="40" w:after="40"/>
        <w:ind w:left="0" w:firstLine="567"/>
        <w:contextualSpacing w:val="false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>Выходные</w:t>
      </w:r>
      <w:r>
        <w:rPr>
          <w:rFonts w:ascii="Times New Roman" w:hAnsi="Times New Roman"/>
          <w:sz w:val="24"/>
          <w:szCs w:val="24"/>
          <w:shd w:fill="auto" w:val="clear"/>
        </w:rPr>
        <w:t xml:space="preserve"> формы сметных расчетов должны соответствовать Образцу согласно Приложению 1.5.</w:t>
      </w:r>
    </w:p>
    <w:p>
      <w:pPr>
        <w:pStyle w:val="ListParagraph"/>
        <w:numPr>
          <w:ilvl w:val="0"/>
          <w:numId w:val="6"/>
        </w:numPr>
        <w:tabs>
          <w:tab w:val="left" w:pos="709" w:leader="none"/>
          <w:tab w:val="left" w:pos="1134" w:leader="none"/>
          <w:tab w:val="left" w:pos="1276" w:leader="none"/>
        </w:tabs>
        <w:spacing w:lineRule="auto" w:line="240" w:before="40" w:after="40"/>
        <w:ind w:left="0" w:firstLine="567"/>
        <w:contextualSpacing w:val="false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В сметных расчетах при исключении и добавлении ресурсов (материалов) необходимо данные ресурсы относить в отдельную позицию, не допускается изменение внутри расценки.</w:t>
      </w:r>
    </w:p>
    <w:p>
      <w:pPr>
        <w:pStyle w:val="ListParagraph"/>
        <w:numPr>
          <w:ilvl w:val="0"/>
          <w:numId w:val="6"/>
        </w:numPr>
        <w:tabs>
          <w:tab w:val="left" w:pos="709" w:leader="none"/>
          <w:tab w:val="left" w:pos="1134" w:leader="none"/>
          <w:tab w:val="left" w:pos="1276" w:leader="none"/>
        </w:tabs>
        <w:spacing w:lineRule="auto" w:line="240" w:before="40" w:after="40"/>
        <w:ind w:left="0" w:firstLine="567"/>
        <w:contextualSpacing w:val="false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 xml:space="preserve">При наличии двух и более сметных расчетов составлять ССР в текущем уровне цен </w:t>
      </w:r>
      <w:r>
        <w:rPr>
          <w:rFonts w:ascii="Times New Roman" w:hAnsi="Times New Roman"/>
          <w:sz w:val="24"/>
          <w:szCs w:val="24"/>
          <w:shd w:fill="auto" w:val="clear"/>
        </w:rPr>
        <w:t xml:space="preserve">по форме </w:t>
      </w:r>
      <w:r>
        <w:rPr>
          <w:rFonts w:ascii="Times New Roman" w:hAnsi="Times New Roman"/>
          <w:color w:val="000000"/>
          <w:sz w:val="24"/>
          <w:szCs w:val="24"/>
          <w:shd w:fill="auto" w:val="clear"/>
        </w:rPr>
        <w:t>Приложения № 1.1 к Требованиям к оформлению и составлению сметной документации на выполнение строительно-монтажных работ по строительству и реконструкции объектов капитального строительства.</w:t>
      </w:r>
    </w:p>
    <w:p>
      <w:pPr>
        <w:pStyle w:val="ConsPlusNormal1"/>
        <w:widowControl/>
        <w:numPr>
          <w:ilvl w:val="0"/>
          <w:numId w:val="6"/>
        </w:numPr>
        <w:tabs>
          <w:tab w:val="clear" w:pos="709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 xml:space="preserve">В случае заключений дополнительных соглашений к договору (далее - д/с), ССР необходимо выполнять в накопительной форме с учетом </w:t>
      </w: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  <w:t>ЛСР (</w:t>
      </w:r>
      <w:r>
        <w:rPr>
          <w:rFonts w:ascii="Times New Roman" w:hAnsi="Times New Roman"/>
          <w:color w:val="000000"/>
          <w:sz w:val="24"/>
          <w:szCs w:val="24"/>
          <w:shd w:fill="auto" w:val="clear"/>
        </w:rPr>
        <w:t xml:space="preserve">ЛС) к основному договору и ко всем заключенным д/с к нему. В итогах ССР (справочно) указывать суммы изменения (уменьшения, увеличения) основного договора на основании заключения д/с, которые определяются как разница между суммой ССР очередного д/с и стоимостью основного договора. Форма ССР с учетом заключения д/с к договору приведена в Приложении </w:t>
      </w: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  <w:t xml:space="preserve">№ 1.2 к </w:t>
      </w:r>
      <w:r>
        <w:rPr>
          <w:rFonts w:ascii="Times New Roman" w:hAnsi="Times New Roman"/>
          <w:color w:val="000000"/>
          <w:sz w:val="24"/>
          <w:szCs w:val="24"/>
          <w:shd w:fill="auto" w:val="clear"/>
        </w:rPr>
        <w:t xml:space="preserve">Требованиям к оформлению и составлению </w:t>
      </w: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  <w:t xml:space="preserve">сметной документации на выполнение строительно-монтажных работ по строительству и реконструкции объектов капитального строительства. </w:t>
      </w:r>
    </w:p>
    <w:p>
      <w:pPr>
        <w:pStyle w:val="ConsPlusNormal1"/>
        <w:widowControl/>
        <w:numPr>
          <w:ilvl w:val="0"/>
          <w:numId w:val="6"/>
        </w:numPr>
        <w:tabs>
          <w:tab w:val="clear" w:pos="709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 xml:space="preserve">ЛСР (ЛС) разрабатываются отдельно на исключаемые и дополнительные объемы работ. К сметной документации дополнительно прилагаются и являются ее неотъемлемой частью сопоставительные ведомости изменения сметной стоимости и сопоставительные ведомости изменения объемов работ, подготовленные в соответствии с Образцом по Приложениям №№ 1.3 и 1.4 </w:t>
      </w: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  <w:t xml:space="preserve">к Требованиям </w:t>
      </w:r>
      <w:r>
        <w:rPr>
          <w:rFonts w:ascii="Times New Roman" w:hAnsi="Times New Roman"/>
          <w:color w:val="000000"/>
          <w:sz w:val="24"/>
          <w:szCs w:val="24"/>
          <w:shd w:fill="auto" w:val="clear"/>
        </w:rPr>
        <w:t xml:space="preserve">к оформлению и составлению </w:t>
      </w: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  <w:t xml:space="preserve">сметной документации на выполнение строительно-монтажных работ по строительству и реконструкции объектов капитального строительства. </w:t>
      </w:r>
    </w:p>
    <w:p>
      <w:pPr>
        <w:pStyle w:val="ConsPlusNormal1"/>
        <w:widowControl/>
        <w:numPr>
          <w:ilvl w:val="0"/>
          <w:numId w:val="6"/>
        </w:numPr>
        <w:tabs>
          <w:tab w:val="clear" w:pos="709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>ЛС являются приложениями к ССР. Нумерация приложений указывается по мере включения ЛС в ССР в накопительной форме - по порядку.</w:t>
      </w:r>
    </w:p>
    <w:p>
      <w:pPr>
        <w:pStyle w:val="ConsPlusNormal1"/>
        <w:widowControl/>
        <w:numPr>
          <w:ilvl w:val="0"/>
          <w:numId w:val="6"/>
        </w:numPr>
        <w:tabs>
          <w:tab w:val="clear" w:pos="709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>Разнесение затрат (сумм ЛС) по графам и главам ССР осуществлять в соответствии с указаниями Методики определения сметной стоимости строительства.</w:t>
      </w:r>
    </w:p>
    <w:p>
      <w:pPr>
        <w:pStyle w:val="ConsPlusNormal1"/>
        <w:widowControl/>
        <w:numPr>
          <w:ilvl w:val="0"/>
          <w:numId w:val="6"/>
        </w:numPr>
        <w:tabs>
          <w:tab w:val="clear" w:pos="709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 xml:space="preserve">В ССР, построчные и итоговые суммы </w:t>
      </w: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  <w:t xml:space="preserve">указывать </w:t>
      </w:r>
      <w:r>
        <w:rPr>
          <w:rFonts w:ascii="Times New Roman" w:hAnsi="Times New Roman"/>
          <w:color w:val="000000"/>
          <w:sz w:val="24"/>
          <w:szCs w:val="24"/>
          <w:shd w:fill="auto" w:val="clear"/>
        </w:rPr>
        <w:t>в рублях с округлением до двух знаков после запятой. Величину НДС не указывать.</w:t>
      </w:r>
    </w:p>
    <w:p>
      <w:pPr>
        <w:pStyle w:val="ConsPlusNormal1"/>
        <w:widowControl/>
        <w:numPr>
          <w:ilvl w:val="0"/>
          <w:numId w:val="6"/>
        </w:numPr>
        <w:tabs>
          <w:tab w:val="clear" w:pos="709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 xml:space="preserve">В случае выполнения Подрядчиком полного комплекса пусконаладочных работ («вхолостую» и «под нагрузкой») сумму затрат на выполнение пусконаладочных работ «под нагрузкой» включать за итогом ССР. Таким образом, общая стоимость работ по договору (дополнительному соглашению) будет включать в себя все затраты Подрядчика в рамках конкретного договора, включая пусконаладочные работы «под нагрузкой» (для работ, выполняемых в рамках ТПиР). </w:t>
      </w:r>
    </w:p>
    <w:p>
      <w:pPr>
        <w:pStyle w:val="ConsPlusNormal1"/>
        <w:widowControl/>
        <w:numPr>
          <w:ilvl w:val="0"/>
          <w:numId w:val="6"/>
        </w:numPr>
        <w:tabs>
          <w:tab w:val="clear" w:pos="709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>В случае если договором определена только предельная цена, то в ССР указываются составляющие стоимости в соответствии с договором.</w:t>
      </w:r>
    </w:p>
    <w:p>
      <w:pPr>
        <w:pStyle w:val="ListParagraph"/>
        <w:numPr>
          <w:ilvl w:val="0"/>
          <w:numId w:val="6"/>
        </w:numPr>
        <w:tabs>
          <w:tab w:val="left" w:pos="709" w:leader="none"/>
          <w:tab w:val="left" w:pos="1134" w:leader="none"/>
          <w:tab w:val="left" w:pos="1276" w:leader="none"/>
        </w:tabs>
        <w:spacing w:lineRule="auto" w:line="240" w:before="40" w:after="40"/>
        <w:ind w:left="0" w:firstLine="567"/>
        <w:contextualSpacing w:val="false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Сметная документация должна быть представлена в двух вариантах:</w:t>
      </w:r>
    </w:p>
    <w:p>
      <w:pPr>
        <w:pStyle w:val="ConsPlusNormal1"/>
        <w:numPr>
          <w:ilvl w:val="0"/>
          <w:numId w:val="4"/>
        </w:numPr>
        <w:tabs>
          <w:tab w:val="left" w:pos="709" w:leader="none"/>
          <w:tab w:val="left" w:pos="851" w:leader="none"/>
          <w:tab w:val="left" w:pos="1134" w:leader="none"/>
        </w:tabs>
        <w:spacing w:before="40" w:after="40"/>
        <w:ind w:left="0" w:firstLine="709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>на бумажном носителе (количество указано в конкурсной документации) Образец ЛСР в соответствии с приложением № 1.5 к Требованиям к оформлению и составлению сметной документации на выполнение строительно-монтажных работ по строительству и реконструкции объектов капитального строительства;</w:t>
      </w:r>
    </w:p>
    <w:p>
      <w:pPr>
        <w:sectPr>
          <w:footerReference w:type="default" r:id="rId2"/>
          <w:type w:val="nextPage"/>
          <w:pgSz w:w="11906" w:h="16838"/>
          <w:pgMar w:left="1304" w:right="924" w:gutter="0" w:header="0" w:top="539" w:footer="709" w:bottom="1134"/>
          <w:pgNumType w:fmt="decimal"/>
          <w:formProt w:val="false"/>
          <w:textDirection w:val="lrTb"/>
          <w:docGrid w:type="default" w:linePitch="360" w:charSpace="0"/>
        </w:sectPr>
        <w:pStyle w:val="ConsPlusNormal1"/>
        <w:numPr>
          <w:ilvl w:val="0"/>
          <w:numId w:val="4"/>
        </w:numPr>
        <w:tabs>
          <w:tab w:val="left" w:pos="709" w:leader="none"/>
          <w:tab w:val="left" w:pos="851" w:leader="none"/>
        </w:tabs>
        <w:spacing w:before="40" w:after="40"/>
        <w:ind w:left="0" w:firstLine="709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>на электронном носителе (в формате «xml» ПК «Гранд-Смета», «Excel», «pdf»), полностью соответствующему, бумажному варианту. Сметная документация в формате «Excel» должна быть представлена в одном файле с внесением ССР, ЛСР и других расчетов на отдельные листы (вкладки) документа.</w:t>
      </w:r>
      <w:r>
        <w:br w:type="page"/>
      </w:r>
    </w:p>
    <w:p>
      <w:pPr>
        <w:pStyle w:val="ListParagraph"/>
        <w:spacing w:lineRule="auto" w:line="240" w:before="0" w:after="0"/>
        <w:ind w:left="928" w:right="666" w:hanging="0"/>
        <w:contextualSpacing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z w:val="18"/>
          <w:szCs w:val="18"/>
          <w:shd w:fill="auto" w:val="clear"/>
        </w:rPr>
        <w:t xml:space="preserve">Приложение №1.1 </w:t>
      </w:r>
    </w:p>
    <w:p>
      <w:pPr>
        <w:pStyle w:val="ConsPlusNormal1"/>
        <w:ind w:left="928" w:right="666" w:hanging="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z w:val="18"/>
          <w:szCs w:val="18"/>
          <w:shd w:fill="auto" w:val="clear"/>
        </w:rPr>
        <w:t xml:space="preserve">к Требованиям к оформлению и составлению сметной </w:t>
      </w:r>
    </w:p>
    <w:p>
      <w:pPr>
        <w:pStyle w:val="ConsPlusNormal1"/>
        <w:ind w:left="928" w:right="666" w:hanging="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z w:val="18"/>
          <w:szCs w:val="18"/>
          <w:shd w:fill="auto" w:val="clear"/>
        </w:rPr>
        <w:t xml:space="preserve">документации на выполнение работ по строительству и реконструкции </w:t>
      </w:r>
    </w:p>
    <w:p>
      <w:pPr>
        <w:pStyle w:val="ConsPlusNormal1"/>
        <w:ind w:left="928" w:right="666" w:hanging="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z w:val="18"/>
          <w:szCs w:val="18"/>
          <w:shd w:fill="auto" w:val="clear"/>
        </w:rPr>
        <w:t xml:space="preserve">объектов капитального строительства  </w:t>
      </w:r>
    </w:p>
    <w:tbl>
      <w:tblPr>
        <w:tblW w:w="15834" w:type="dxa"/>
        <w:jc w:val="left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a0" w:noVBand="1" w:noHBand="0" w:lastColumn="0" w:firstColumn="1" w:lastRow="0" w:firstRow="1"/>
      </w:tblPr>
      <w:tblGrid>
        <w:gridCol w:w="1238"/>
        <w:gridCol w:w="73"/>
        <w:gridCol w:w="1635"/>
        <w:gridCol w:w="583"/>
        <w:gridCol w:w="2842"/>
        <w:gridCol w:w="105"/>
        <w:gridCol w:w="12"/>
        <w:gridCol w:w="1525"/>
        <w:gridCol w:w="130"/>
        <w:gridCol w:w="14"/>
        <w:gridCol w:w="1677"/>
        <w:gridCol w:w="68"/>
        <w:gridCol w:w="14"/>
        <w:gridCol w:w="1840"/>
        <w:gridCol w:w="11"/>
        <w:gridCol w:w="38"/>
        <w:gridCol w:w="1930"/>
        <w:gridCol w:w="19"/>
        <w:gridCol w:w="300"/>
        <w:gridCol w:w="1667"/>
        <w:gridCol w:w="10"/>
        <w:gridCol w:w="101"/>
      </w:tblGrid>
      <w:tr>
        <w:trPr>
          <w:trHeight w:val="312" w:hRule="atLeast"/>
        </w:trPr>
        <w:tc>
          <w:tcPr>
            <w:tcW w:w="3529" w:type="dxa"/>
            <w:gridSpan w:val="4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sz w:val="18"/>
                <w:szCs w:val="18"/>
                <w:shd w:fill="auto" w:val="clear"/>
              </w:rPr>
              <w:t>ОБРАЗЕЦ</w:t>
            </w:r>
          </w:p>
        </w:tc>
        <w:tc>
          <w:tcPr>
            <w:tcW w:w="2947" w:type="dxa"/>
            <w:gridSpan w:val="2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667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759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854" w:type="dxa"/>
            <w:gridSpan w:val="2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3965" w:type="dxa"/>
            <w:gridSpan w:val="6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Приложение __ от ______</w:t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к Договору № _________ от ______</w:t>
            </w:r>
          </w:p>
        </w:tc>
        <w:tc>
          <w:tcPr>
            <w:tcW w:w="10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01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3529" w:type="dxa"/>
            <w:gridSpan w:val="4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b/>
                <w:bCs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СОГЛАСОВАНО:</w:t>
            </w:r>
          </w:p>
        </w:tc>
        <w:tc>
          <w:tcPr>
            <w:tcW w:w="2947" w:type="dxa"/>
            <w:gridSpan w:val="2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b/>
                <w:bCs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</w:r>
          </w:p>
        </w:tc>
        <w:tc>
          <w:tcPr>
            <w:tcW w:w="1667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759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5819" w:type="dxa"/>
            <w:gridSpan w:val="8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rFonts w:ascii="Times New Roman" w:hAnsi="Times New Roman"/>
                <w:b/>
                <w:bCs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УТВЕРЖДАЮ:</w:t>
            </w:r>
          </w:p>
        </w:tc>
        <w:tc>
          <w:tcPr>
            <w:tcW w:w="10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01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3529" w:type="dxa"/>
            <w:gridSpan w:val="4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___________________ФИО</w:t>
            </w:r>
          </w:p>
        </w:tc>
        <w:tc>
          <w:tcPr>
            <w:tcW w:w="2947" w:type="dxa"/>
            <w:gridSpan w:val="2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667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759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5819" w:type="dxa"/>
            <w:gridSpan w:val="8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 xml:space="preserve">___________________ФИО       </w:t>
            </w:r>
          </w:p>
        </w:tc>
        <w:tc>
          <w:tcPr>
            <w:tcW w:w="10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01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6488" w:type="dxa"/>
            <w:gridSpan w:val="7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"_______" _____________ 20___ г.</w:t>
            </w:r>
          </w:p>
        </w:tc>
        <w:tc>
          <w:tcPr>
            <w:tcW w:w="1669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759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5815" w:type="dxa"/>
            <w:gridSpan w:val="8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"______" ____________________ 20__ г.</w:t>
            </w:r>
          </w:p>
        </w:tc>
        <w:tc>
          <w:tcPr>
            <w:tcW w:w="101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65" w:hRule="atLeast"/>
        </w:trPr>
        <w:tc>
          <w:tcPr>
            <w:tcW w:w="1238" w:type="dxa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2291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2947" w:type="dxa"/>
            <w:gridSpan w:val="2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7259" w:type="dxa"/>
            <w:gridSpan w:val="11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Сводный сметный расчет в сумме:______</w:t>
            </w:r>
          </w:p>
        </w:tc>
        <w:tc>
          <w:tcPr>
            <w:tcW w:w="1986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руб. без НДС</w:t>
            </w:r>
          </w:p>
        </w:tc>
        <w:tc>
          <w:tcPr>
            <w:tcW w:w="10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01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144" w:hRule="atLeast"/>
        </w:trPr>
        <w:tc>
          <w:tcPr>
            <w:tcW w:w="1238" w:type="dxa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2291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2947" w:type="dxa"/>
            <w:gridSpan w:val="2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5280" w:type="dxa"/>
            <w:gridSpan w:val="8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 xml:space="preserve">СВОДНЫЙ СМЕТНЫЙ РАСЧЕТ </w:t>
            </w:r>
          </w:p>
        </w:tc>
        <w:tc>
          <w:tcPr>
            <w:tcW w:w="1979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986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0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01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108" w:hRule="atLeast"/>
        </w:trPr>
        <w:tc>
          <w:tcPr>
            <w:tcW w:w="1238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2291" w:type="dxa"/>
            <w:gridSpan w:val="3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0206" w:type="dxa"/>
            <w:gridSpan w:val="13"/>
            <w:tcBorders>
              <w:bottom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86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i/>
                <w:i/>
                <w:iCs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</w:r>
          </w:p>
        </w:tc>
        <w:tc>
          <w:tcPr>
            <w:tcW w:w="10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01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1238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2291" w:type="dxa"/>
            <w:gridSpan w:val="3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2947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5280" w:type="dxa"/>
            <w:gridSpan w:val="8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>(наименование стройки)</w:t>
            </w:r>
          </w:p>
        </w:tc>
        <w:tc>
          <w:tcPr>
            <w:tcW w:w="1979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986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0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01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1238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8678" w:type="dxa"/>
            <w:gridSpan w:val="12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Составлен в ценах, соответствующих периоду выполнения работ по договору</w:t>
            </w:r>
          </w:p>
        </w:tc>
        <w:tc>
          <w:tcPr>
            <w:tcW w:w="1851" w:type="dxa"/>
            <w:gridSpan w:val="2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987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977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01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255" w:hRule="atLeast"/>
        </w:trPr>
        <w:tc>
          <w:tcPr>
            <w:tcW w:w="12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 xml:space="preserve">№ </w:t>
            </w: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пп</w:t>
            </w:r>
          </w:p>
        </w:tc>
        <w:tc>
          <w:tcPr>
            <w:tcW w:w="2291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Номера сметных расчетов и смет</w:t>
            </w:r>
          </w:p>
        </w:tc>
        <w:tc>
          <w:tcPr>
            <w:tcW w:w="2947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Наименование глав, объектов, работ и затрат</w:t>
            </w:r>
          </w:p>
        </w:tc>
        <w:tc>
          <w:tcPr>
            <w:tcW w:w="7259" w:type="dxa"/>
            <w:gridSpan w:val="11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Сметная стоимость, руб.</w:t>
            </w:r>
          </w:p>
        </w:tc>
        <w:tc>
          <w:tcPr>
            <w:tcW w:w="1986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Общая сметная стоимость, руб.</w:t>
            </w:r>
          </w:p>
        </w:tc>
        <w:tc>
          <w:tcPr>
            <w:tcW w:w="10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01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1238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2291" w:type="dxa"/>
            <w:gridSpan w:val="3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2947" w:type="dxa"/>
            <w:gridSpan w:val="2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667" w:type="dxa"/>
            <w:gridSpan w:val="3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строительных работ</w:t>
            </w:r>
          </w:p>
        </w:tc>
        <w:tc>
          <w:tcPr>
            <w:tcW w:w="1759" w:type="dxa"/>
            <w:gridSpan w:val="3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монтажных работ</w:t>
            </w:r>
          </w:p>
        </w:tc>
        <w:tc>
          <w:tcPr>
            <w:tcW w:w="1854" w:type="dxa"/>
            <w:gridSpan w:val="2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оборудования, мебели, инвентаря</w:t>
            </w:r>
          </w:p>
        </w:tc>
        <w:tc>
          <w:tcPr>
            <w:tcW w:w="1979" w:type="dxa"/>
            <w:gridSpan w:val="3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прочих</w:t>
            </w:r>
          </w:p>
        </w:tc>
        <w:tc>
          <w:tcPr>
            <w:tcW w:w="1986" w:type="dxa"/>
            <w:gridSpan w:val="3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0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01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269" w:hRule="atLeast"/>
        </w:trPr>
        <w:tc>
          <w:tcPr>
            <w:tcW w:w="1238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2291" w:type="dxa"/>
            <w:gridSpan w:val="3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2947" w:type="dxa"/>
            <w:gridSpan w:val="2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667" w:type="dxa"/>
            <w:gridSpan w:val="3"/>
            <w:vMerge w:val="continue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759" w:type="dxa"/>
            <w:gridSpan w:val="3"/>
            <w:vMerge w:val="continue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854" w:type="dxa"/>
            <w:gridSpan w:val="2"/>
            <w:vMerge w:val="continue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979" w:type="dxa"/>
            <w:gridSpan w:val="3"/>
            <w:vMerge w:val="continue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986" w:type="dxa"/>
            <w:gridSpan w:val="3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0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01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1238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1</w:t>
            </w:r>
          </w:p>
        </w:tc>
        <w:tc>
          <w:tcPr>
            <w:tcW w:w="2291" w:type="dxa"/>
            <w:gridSpan w:val="3"/>
            <w:tcBorders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2</w:t>
            </w:r>
          </w:p>
        </w:tc>
        <w:tc>
          <w:tcPr>
            <w:tcW w:w="2947" w:type="dxa"/>
            <w:gridSpan w:val="2"/>
            <w:tcBorders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3</w:t>
            </w:r>
          </w:p>
        </w:tc>
        <w:tc>
          <w:tcPr>
            <w:tcW w:w="1667" w:type="dxa"/>
            <w:gridSpan w:val="3"/>
            <w:tcBorders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4</w:t>
            </w:r>
          </w:p>
        </w:tc>
        <w:tc>
          <w:tcPr>
            <w:tcW w:w="1759" w:type="dxa"/>
            <w:gridSpan w:val="3"/>
            <w:tcBorders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5</w:t>
            </w:r>
          </w:p>
        </w:tc>
        <w:tc>
          <w:tcPr>
            <w:tcW w:w="1854" w:type="dxa"/>
            <w:gridSpan w:val="2"/>
            <w:tcBorders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6</w:t>
            </w:r>
          </w:p>
        </w:tc>
        <w:tc>
          <w:tcPr>
            <w:tcW w:w="1979" w:type="dxa"/>
            <w:gridSpan w:val="3"/>
            <w:tcBorders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7</w:t>
            </w:r>
          </w:p>
        </w:tc>
        <w:tc>
          <w:tcPr>
            <w:tcW w:w="1986" w:type="dxa"/>
            <w:gridSpan w:val="3"/>
            <w:tcBorders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8</w:t>
            </w:r>
          </w:p>
        </w:tc>
        <w:tc>
          <w:tcPr>
            <w:tcW w:w="10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01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15731" w:type="dxa"/>
            <w:gridSpan w:val="2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Глава 2. Основные объекты строительства</w:t>
            </w:r>
          </w:p>
        </w:tc>
        <w:tc>
          <w:tcPr>
            <w:tcW w:w="101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12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1</w:t>
            </w:r>
          </w:p>
        </w:tc>
        <w:tc>
          <w:tcPr>
            <w:tcW w:w="2291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02-01-01</w:t>
            </w:r>
          </w:p>
        </w:tc>
        <w:tc>
          <w:tcPr>
            <w:tcW w:w="2947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…</w:t>
            </w:r>
          </w:p>
        </w:tc>
        <w:tc>
          <w:tcPr>
            <w:tcW w:w="1667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759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54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79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86" w:type="dxa"/>
            <w:gridSpan w:val="3"/>
            <w:tcBorders>
              <w:bottom w:val="single" w:sz="4" w:space="0" w:color="000000"/>
              <w:right w:val="single" w:sz="4" w:space="0" w:color="000000"/>
            </w:tcBorders>
            <w:shd w:color="000000" w:fill="FFFFFF" w:val="clea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0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01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286" w:hRule="atLeast"/>
        </w:trPr>
        <w:tc>
          <w:tcPr>
            <w:tcW w:w="12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5250" w:type="dxa"/>
            <w:gridSpan w:val="6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Итого по Главе 2. "Основные объекты строительства"</w:t>
            </w:r>
          </w:p>
        </w:tc>
        <w:tc>
          <w:tcPr>
            <w:tcW w:w="1669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759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51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87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77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01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12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5250" w:type="dxa"/>
            <w:gridSpan w:val="6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Итого по Главам 1-12</w:t>
            </w:r>
          </w:p>
        </w:tc>
        <w:tc>
          <w:tcPr>
            <w:tcW w:w="1669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759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51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87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77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01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240" w:hRule="atLeast"/>
        </w:trPr>
        <w:tc>
          <w:tcPr>
            <w:tcW w:w="15731" w:type="dxa"/>
            <w:gridSpan w:val="2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Непредвиденные затраты</w:t>
            </w:r>
          </w:p>
        </w:tc>
        <w:tc>
          <w:tcPr>
            <w:tcW w:w="101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12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2291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2947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667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759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54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79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86" w:type="dxa"/>
            <w:gridSpan w:val="3"/>
            <w:tcBorders>
              <w:bottom w:val="single" w:sz="4" w:space="0" w:color="000000"/>
              <w:right w:val="single" w:sz="4" w:space="0" w:color="000000"/>
            </w:tcBorders>
            <w:shd w:color="000000" w:fill="FFFFFF" w:val="clea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0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01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12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5250" w:type="dxa"/>
            <w:gridSpan w:val="6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Итого с учетом "Непредвиденные затраты"</w:t>
            </w:r>
          </w:p>
        </w:tc>
        <w:tc>
          <w:tcPr>
            <w:tcW w:w="1669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759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51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87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77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01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12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5250" w:type="dxa"/>
            <w:gridSpan w:val="6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Итого по сводному расчету</w:t>
            </w:r>
          </w:p>
        </w:tc>
        <w:tc>
          <w:tcPr>
            <w:tcW w:w="1669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759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51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87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77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01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75" w:hRule="atLeast"/>
        </w:trPr>
        <w:tc>
          <w:tcPr>
            <w:tcW w:w="1311" w:type="dxa"/>
            <w:gridSpan w:val="2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635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Составил:</w:t>
            </w:r>
          </w:p>
        </w:tc>
        <w:tc>
          <w:tcPr>
            <w:tcW w:w="3425" w:type="dxa"/>
            <w:gridSpan w:val="2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642" w:type="dxa"/>
            <w:gridSpan w:val="3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21" w:type="dxa"/>
            <w:gridSpan w:val="3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71" w:type="dxa"/>
            <w:gridSpan w:val="5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2249" w:type="dxa"/>
            <w:gridSpan w:val="3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778" w:type="dxa"/>
            <w:gridSpan w:val="3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</w:tr>
      <w:tr>
        <w:trPr>
          <w:trHeight w:val="312" w:hRule="atLeast"/>
        </w:trPr>
        <w:tc>
          <w:tcPr>
            <w:tcW w:w="1311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635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3425" w:type="dxa"/>
            <w:gridSpan w:val="2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5434" w:type="dxa"/>
            <w:gridSpan w:val="11"/>
            <w:tcBorders>
              <w:top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>(должность, подпись, расшифровка)</w:t>
            </w:r>
          </w:p>
        </w:tc>
        <w:tc>
          <w:tcPr>
            <w:tcW w:w="2249" w:type="dxa"/>
            <w:gridSpan w:val="3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778" w:type="dxa"/>
            <w:gridSpan w:val="3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> </w:t>
            </w:r>
          </w:p>
        </w:tc>
      </w:tr>
      <w:tr>
        <w:trPr>
          <w:trHeight w:val="312" w:hRule="atLeast"/>
        </w:trPr>
        <w:tc>
          <w:tcPr>
            <w:tcW w:w="1311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635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Проверил:</w:t>
            </w:r>
          </w:p>
        </w:tc>
        <w:tc>
          <w:tcPr>
            <w:tcW w:w="3425" w:type="dxa"/>
            <w:gridSpan w:val="2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642" w:type="dxa"/>
            <w:gridSpan w:val="3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21" w:type="dxa"/>
            <w:gridSpan w:val="3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71" w:type="dxa"/>
            <w:gridSpan w:val="5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2249" w:type="dxa"/>
            <w:gridSpan w:val="3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778" w:type="dxa"/>
            <w:gridSpan w:val="3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</w:tr>
      <w:tr>
        <w:trPr>
          <w:trHeight w:val="724" w:hRule="atLeast"/>
        </w:trPr>
        <w:tc>
          <w:tcPr>
            <w:tcW w:w="1311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635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/>
              <w:object>
                <v:shapetype id="_x0000_tole_rId3" coordsize="21600,21600" o:spt="ole_rId3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le_rId3" type="_x0000_tole_rId3" style="width:68.3pt;height:43.8pt;mso-wrap-distance-right:0pt" filled="f" o:ole="">
                  <v:imagedata r:id="rId4" o:title=""/>
                </v:shape>
                <o:OLEObject Type="Embed" ProgID="Excel.Sheet.12" ShapeID="ole_rId3" DrawAspect="Icon" ObjectID="_1555375468" r:id="rId3"/>
              </w:object>
            </w:r>
          </w:p>
        </w:tc>
        <w:tc>
          <w:tcPr>
            <w:tcW w:w="3425" w:type="dxa"/>
            <w:gridSpan w:val="2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5434" w:type="dxa"/>
            <w:gridSpan w:val="11"/>
            <w:tcBorders>
              <w:top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>(должность, подпись, расшифровка)</w:t>
            </w:r>
          </w:p>
        </w:tc>
        <w:tc>
          <w:tcPr>
            <w:tcW w:w="2249" w:type="dxa"/>
            <w:gridSpan w:val="3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778" w:type="dxa"/>
            <w:gridSpan w:val="3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> </w:t>
            </w:r>
          </w:p>
        </w:tc>
      </w:tr>
    </w:tbl>
    <w:p>
      <w:pPr>
        <w:sectPr>
          <w:footerReference w:type="default" r:id="rId5"/>
          <w:footerReference w:type="first" r:id="rId6"/>
          <w:type w:val="nextPage"/>
          <w:pgSz w:orient="landscape" w:w="16838" w:h="11906"/>
          <w:pgMar w:left="425" w:right="851" w:gutter="0" w:header="0" w:top="851" w:footer="709" w:bottom="766"/>
          <w:pgNumType w:fmt="decimal"/>
          <w:formProt w:val="false"/>
          <w:textDirection w:val="lrTb"/>
          <w:docGrid w:type="default" w:linePitch="360" w:charSpace="0"/>
        </w:sectPr>
      </w:pPr>
    </w:p>
    <w:p>
      <w:pPr>
        <w:pStyle w:val="Normal"/>
        <w:spacing w:lineRule="auto" w:line="240" w:before="0" w:after="0"/>
        <w:ind w:left="397" w:firstLine="720"/>
        <w:contextualSpacing/>
        <w:rPr>
          <w:highlight w:val="none"/>
          <w:shd w:fill="auto" w:val="clear"/>
        </w:rPr>
      </w:pPr>
      <w:r>
        <w:rPr>
          <w:rFonts w:ascii="Times New Roman" w:hAnsi="Times New Roman"/>
          <w:b/>
          <w:shd w:fill="auto" w:val="clear"/>
        </w:rPr>
        <w:t>ОБРАЗЕЦ</w:t>
      </w:r>
      <w:r>
        <w:rPr>
          <w:rFonts w:ascii="Times New Roman" w:hAnsi="Times New Roman"/>
          <w:shd w:fill="auto" w:val="clear"/>
        </w:rPr>
        <w:t xml:space="preserve">             </w:t>
      </w:r>
    </w:p>
    <w:p>
      <w:pPr>
        <w:pStyle w:val="Normal"/>
        <w:spacing w:lineRule="auto" w:line="240" w:before="0" w:after="0"/>
        <w:ind w:left="8646" w:firstLine="720"/>
        <w:contextualSpacing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 xml:space="preserve"> </w:t>
      </w:r>
      <w:r>
        <w:rPr>
          <w:rFonts w:ascii="Times New Roman" w:hAnsi="Times New Roman"/>
          <w:sz w:val="20"/>
          <w:szCs w:val="20"/>
          <w:shd w:fill="auto" w:val="clear"/>
        </w:rPr>
        <w:t xml:space="preserve">Приложение №1.2 </w:t>
      </w:r>
    </w:p>
    <w:p>
      <w:pPr>
        <w:pStyle w:val="ConsPlusNormal1"/>
        <w:ind w:left="5811" w:firstLine="72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 xml:space="preserve">к Требованиям к оформлению и составлению </w:t>
      </w:r>
    </w:p>
    <w:p>
      <w:pPr>
        <w:pStyle w:val="ConsPlusNormal1"/>
        <w:ind w:left="5811" w:firstLine="72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 xml:space="preserve">сметной документации на строительство и реконструкцию </w:t>
      </w:r>
    </w:p>
    <w:p>
      <w:pPr>
        <w:pStyle w:val="ConsPlusNormal1"/>
        <w:ind w:left="5811" w:firstLine="72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объектов капитального строительства</w:t>
      </w:r>
    </w:p>
    <w:tbl>
      <w:tblPr>
        <w:tblW w:w="16199" w:type="dxa"/>
        <w:jc w:val="left"/>
        <w:tblInd w:w="142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a0" w:noVBand="1" w:noHBand="0" w:lastColumn="0" w:firstColumn="1" w:lastRow="0" w:firstRow="1"/>
      </w:tblPr>
      <w:tblGrid>
        <w:gridCol w:w="722"/>
        <w:gridCol w:w="219"/>
        <w:gridCol w:w="1445"/>
        <w:gridCol w:w="220"/>
        <w:gridCol w:w="3264"/>
        <w:gridCol w:w="235"/>
        <w:gridCol w:w="217"/>
        <w:gridCol w:w="1207"/>
        <w:gridCol w:w="1843"/>
        <w:gridCol w:w="246"/>
        <w:gridCol w:w="823"/>
        <w:gridCol w:w="917"/>
        <w:gridCol w:w="256"/>
        <w:gridCol w:w="536"/>
        <w:gridCol w:w="217"/>
        <w:gridCol w:w="844"/>
        <w:gridCol w:w="413"/>
        <w:gridCol w:w="26"/>
        <w:gridCol w:w="444"/>
        <w:gridCol w:w="439"/>
        <w:gridCol w:w="217"/>
        <w:gridCol w:w="716"/>
        <w:gridCol w:w="731"/>
      </w:tblGrid>
      <w:tr>
        <w:trPr>
          <w:trHeight w:val="78" w:hRule="atLeast"/>
        </w:trPr>
        <w:tc>
          <w:tcPr>
            <w:tcW w:w="2606" w:type="dxa"/>
            <w:gridSpan w:val="4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shd w:fill="auto" w:val="clear"/>
              </w:rPr>
              <w:t>СОГЛАСОВАНО:</w:t>
            </w:r>
          </w:p>
        </w:tc>
        <w:tc>
          <w:tcPr>
            <w:tcW w:w="3716" w:type="dxa"/>
            <w:gridSpan w:val="3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b/>
                <w:bCs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shd w:fill="auto" w:val="clear"/>
              </w:rPr>
            </w:r>
          </w:p>
        </w:tc>
        <w:tc>
          <w:tcPr>
            <w:tcW w:w="3296" w:type="dxa"/>
            <w:gridSpan w:val="3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996" w:type="dxa"/>
            <w:gridSpan w:val="3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4583" w:type="dxa"/>
            <w:gridSpan w:val="10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shd w:fill="auto" w:val="clear"/>
              </w:rPr>
              <w:t>УТВЕРЖДАЮ:</w:t>
            </w:r>
          </w:p>
        </w:tc>
      </w:tr>
      <w:tr>
        <w:trPr>
          <w:trHeight w:val="312" w:hRule="atLeast"/>
        </w:trPr>
        <w:tc>
          <w:tcPr>
            <w:tcW w:w="2606" w:type="dxa"/>
            <w:gridSpan w:val="4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  <w:t>_______________ ФИО</w:t>
            </w:r>
          </w:p>
        </w:tc>
        <w:tc>
          <w:tcPr>
            <w:tcW w:w="3716" w:type="dxa"/>
            <w:gridSpan w:val="3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3296" w:type="dxa"/>
            <w:gridSpan w:val="3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996" w:type="dxa"/>
            <w:gridSpan w:val="3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4583" w:type="dxa"/>
            <w:gridSpan w:val="10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  <w:t>________________ФИО</w:t>
            </w:r>
          </w:p>
        </w:tc>
      </w:tr>
      <w:tr>
        <w:trPr>
          <w:trHeight w:val="312" w:hRule="atLeast"/>
        </w:trPr>
        <w:tc>
          <w:tcPr>
            <w:tcW w:w="6322" w:type="dxa"/>
            <w:gridSpan w:val="7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  <w:t>"___" _____________ 20__ г.</w:t>
            </w:r>
          </w:p>
        </w:tc>
        <w:tc>
          <w:tcPr>
            <w:tcW w:w="3296" w:type="dxa"/>
            <w:gridSpan w:val="3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996" w:type="dxa"/>
            <w:gridSpan w:val="3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4583" w:type="dxa"/>
            <w:gridSpan w:val="10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  <w:t>"___" _____________ 20__ г.</w:t>
            </w:r>
          </w:p>
        </w:tc>
      </w:tr>
      <w:tr>
        <w:trPr>
          <w:trHeight w:val="312" w:hRule="atLeast"/>
        </w:trPr>
        <w:tc>
          <w:tcPr>
            <w:tcW w:w="941" w:type="dxa"/>
            <w:gridSpan w:val="2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5164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4336" w:type="dxa"/>
            <w:gridSpan w:val="5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709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61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83" w:type="dxa"/>
            <w:gridSpan w:val="3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439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933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722" w:type="dxa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664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3484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659" w:type="dxa"/>
            <w:gridSpan w:val="3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6095" w:type="dxa"/>
            <w:gridSpan w:val="9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  <w:t xml:space="preserve">Сводный сметный расчет в сумме </w:t>
            </w:r>
          </w:p>
        </w:tc>
        <w:tc>
          <w:tcPr>
            <w:tcW w:w="1842" w:type="dxa"/>
            <w:gridSpan w:val="5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  <w:t>руб. без НДС</w:t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722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664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1264" w:type="dxa"/>
            <w:gridSpan w:val="15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20"/>
                <w:shd w:fill="auto" w:val="clear"/>
              </w:rPr>
              <w:t xml:space="preserve">СВОДНЫЙ СМЕТНЫЙ РАСЧЕТ </w:t>
            </w:r>
          </w:p>
        </w:tc>
        <w:tc>
          <w:tcPr>
            <w:tcW w:w="1816" w:type="dxa"/>
            <w:gridSpan w:val="4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240" w:hRule="atLeast"/>
        </w:trPr>
        <w:tc>
          <w:tcPr>
            <w:tcW w:w="722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664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2364" w:type="dxa"/>
            <w:gridSpan w:val="18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  <w:t> </w:t>
            </w:r>
          </w:p>
        </w:tc>
        <w:tc>
          <w:tcPr>
            <w:tcW w:w="716" w:type="dxa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00" w:hRule="atLeast"/>
        </w:trPr>
        <w:tc>
          <w:tcPr>
            <w:tcW w:w="722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664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3484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5488" w:type="dxa"/>
            <w:gridSpan w:val="7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20"/>
                <w:szCs w:val="20"/>
                <w:shd w:fill="auto" w:val="clear"/>
              </w:rPr>
              <w:t xml:space="preserve">               </w:t>
            </w:r>
            <w:r>
              <w:rPr>
                <w:rFonts w:ascii="Times New Roman" w:hAnsi="Times New Roman"/>
                <w:i/>
                <w:iCs/>
                <w:sz w:val="20"/>
                <w:szCs w:val="20"/>
                <w:shd w:fill="auto" w:val="clear"/>
              </w:rPr>
              <w:t>(наименование стройки)</w:t>
            </w:r>
          </w:p>
        </w:tc>
        <w:tc>
          <w:tcPr>
            <w:tcW w:w="2266" w:type="dxa"/>
            <w:gridSpan w:val="5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842" w:type="dxa"/>
            <w:gridSpan w:val="5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12367" w:type="dxa"/>
            <w:gridSpan w:val="15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  <w:t>Составлен в текущих ценах, соответствующих периоду выполнения работ по договору</w:t>
            </w:r>
          </w:p>
        </w:tc>
        <w:tc>
          <w:tcPr>
            <w:tcW w:w="2383" w:type="dxa"/>
            <w:gridSpan w:val="6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716" w:type="dxa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84" w:hRule="atLeast"/>
        </w:trPr>
        <w:tc>
          <w:tcPr>
            <w:tcW w:w="722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664" w:type="dxa"/>
            <w:gridSpan w:val="2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3484" w:type="dxa"/>
            <w:gridSpan w:val="2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659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843" w:type="dxa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986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2266" w:type="dxa"/>
            <w:gridSpan w:val="5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842" w:type="dxa"/>
            <w:gridSpan w:val="5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84" w:hRule="atLeast"/>
        </w:trPr>
        <w:tc>
          <w:tcPr>
            <w:tcW w:w="722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664" w:type="dxa"/>
            <w:gridSpan w:val="2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3484" w:type="dxa"/>
            <w:gridSpan w:val="2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659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843" w:type="dxa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986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2266" w:type="dxa"/>
            <w:gridSpan w:val="5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842" w:type="dxa"/>
            <w:gridSpan w:val="5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255" w:hRule="atLeast"/>
        </w:trPr>
        <w:tc>
          <w:tcPr>
            <w:tcW w:w="72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 xml:space="preserve">№ </w:t>
            </w: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пп</w:t>
            </w:r>
          </w:p>
        </w:tc>
        <w:tc>
          <w:tcPr>
            <w:tcW w:w="166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Номера сметных расчетов и смет</w:t>
            </w:r>
          </w:p>
        </w:tc>
        <w:tc>
          <w:tcPr>
            <w:tcW w:w="348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Наименование глав, объектов, работ и затрат</w:t>
            </w:r>
          </w:p>
        </w:tc>
        <w:tc>
          <w:tcPr>
            <w:tcW w:w="7754" w:type="dxa"/>
            <w:gridSpan w:val="1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Сметная стоимость, руб.</w:t>
            </w:r>
          </w:p>
        </w:tc>
        <w:tc>
          <w:tcPr>
            <w:tcW w:w="1842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ind w:left="-113" w:firstLine="72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Общая сметная</w:t>
            </w:r>
          </w:p>
          <w:p>
            <w:pPr>
              <w:pStyle w:val="Normal"/>
              <w:widowControl w:val="false"/>
              <w:spacing w:lineRule="auto" w:line="240" w:before="0" w:after="0"/>
              <w:ind w:left="-113" w:firstLine="72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стоимость, руб</w:t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597" w:hRule="atLeast"/>
        </w:trPr>
        <w:tc>
          <w:tcPr>
            <w:tcW w:w="722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664" w:type="dxa"/>
            <w:gridSpan w:val="2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3484" w:type="dxa"/>
            <w:gridSpan w:val="2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659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строитель-</w:t>
              <w:br/>
              <w:t>ных работ</w:t>
            </w: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монтажных работ</w:t>
            </w:r>
          </w:p>
        </w:tc>
        <w:tc>
          <w:tcPr>
            <w:tcW w:w="1986" w:type="dxa"/>
            <w:gridSpan w:val="3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оборудования, мебели, инвентаря</w:t>
            </w:r>
          </w:p>
        </w:tc>
        <w:tc>
          <w:tcPr>
            <w:tcW w:w="2266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прочих</w:t>
            </w:r>
          </w:p>
        </w:tc>
        <w:tc>
          <w:tcPr>
            <w:tcW w:w="1842" w:type="dxa"/>
            <w:gridSpan w:val="5"/>
            <w:vMerge w:val="continue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ind w:left="720" w:hanging="595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722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1</w:t>
            </w:r>
          </w:p>
        </w:tc>
        <w:tc>
          <w:tcPr>
            <w:tcW w:w="1664" w:type="dxa"/>
            <w:gridSpan w:val="2"/>
            <w:tcBorders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2</w:t>
            </w:r>
          </w:p>
        </w:tc>
        <w:tc>
          <w:tcPr>
            <w:tcW w:w="3484" w:type="dxa"/>
            <w:gridSpan w:val="2"/>
            <w:tcBorders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3</w:t>
            </w:r>
          </w:p>
        </w:tc>
        <w:tc>
          <w:tcPr>
            <w:tcW w:w="1659" w:type="dxa"/>
            <w:gridSpan w:val="3"/>
            <w:tcBorders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4</w:t>
            </w:r>
          </w:p>
        </w:tc>
        <w:tc>
          <w:tcPr>
            <w:tcW w:w="1843" w:type="dxa"/>
            <w:tcBorders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5</w:t>
            </w:r>
          </w:p>
        </w:tc>
        <w:tc>
          <w:tcPr>
            <w:tcW w:w="1986" w:type="dxa"/>
            <w:gridSpan w:val="3"/>
            <w:tcBorders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6</w:t>
            </w:r>
          </w:p>
        </w:tc>
        <w:tc>
          <w:tcPr>
            <w:tcW w:w="2266" w:type="dxa"/>
            <w:gridSpan w:val="5"/>
            <w:tcBorders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7</w:t>
            </w:r>
          </w:p>
        </w:tc>
        <w:tc>
          <w:tcPr>
            <w:tcW w:w="1842" w:type="dxa"/>
            <w:gridSpan w:val="5"/>
            <w:tcBorders>
              <w:top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8</w:t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15466" w:type="dxa"/>
            <w:gridSpan w:val="2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 xml:space="preserve">Глава 2. Основные объекты </w:t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15466" w:type="dxa"/>
            <w:gridSpan w:val="2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Сметы основного договора:</w:t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1</w:t>
            </w:r>
          </w:p>
        </w:tc>
        <w:tc>
          <w:tcPr>
            <w:tcW w:w="1664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№</w:t>
            </w: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02-01-01</w:t>
            </w:r>
          </w:p>
        </w:tc>
        <w:tc>
          <w:tcPr>
            <w:tcW w:w="3484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659" w:type="dxa"/>
            <w:gridSpan w:val="3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86" w:type="dxa"/>
            <w:gridSpan w:val="3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2266" w:type="dxa"/>
            <w:gridSpan w:val="5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2" w:type="dxa"/>
            <w:gridSpan w:val="5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7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2</w:t>
            </w:r>
          </w:p>
        </w:tc>
        <w:tc>
          <w:tcPr>
            <w:tcW w:w="1664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№</w:t>
            </w: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02-01-02</w:t>
            </w:r>
          </w:p>
        </w:tc>
        <w:tc>
          <w:tcPr>
            <w:tcW w:w="3484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659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3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86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2266" w:type="dxa"/>
            <w:gridSpan w:val="5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2" w:type="dxa"/>
            <w:gridSpan w:val="5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60" w:hRule="atLeast"/>
        </w:trPr>
        <w:tc>
          <w:tcPr>
            <w:tcW w:w="15466" w:type="dxa"/>
            <w:gridSpan w:val="2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Исключить дополнительным соглашением №___</w:t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7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664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№</w:t>
            </w: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02-01-02</w:t>
            </w:r>
          </w:p>
        </w:tc>
        <w:tc>
          <w:tcPr>
            <w:tcW w:w="3484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659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3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86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2266" w:type="dxa"/>
            <w:gridSpan w:val="5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2" w:type="dxa"/>
            <w:gridSpan w:val="5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405" w:hRule="atLeast"/>
        </w:trPr>
        <w:tc>
          <w:tcPr>
            <w:tcW w:w="7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5148" w:type="dxa"/>
            <w:gridSpan w:val="4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Итого исключено Дополнительным соглашением №</w:t>
            </w:r>
          </w:p>
        </w:tc>
        <w:tc>
          <w:tcPr>
            <w:tcW w:w="1659" w:type="dxa"/>
            <w:gridSpan w:val="3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3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86" w:type="dxa"/>
            <w:gridSpan w:val="3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2266" w:type="dxa"/>
            <w:gridSpan w:val="5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2" w:type="dxa"/>
            <w:gridSpan w:val="5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435" w:hRule="atLeast"/>
        </w:trPr>
        <w:tc>
          <w:tcPr>
            <w:tcW w:w="15466" w:type="dxa"/>
            <w:gridSpan w:val="2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Включить дополнительным соглашением №____</w:t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70" w:hRule="atLeast"/>
        </w:trPr>
        <w:tc>
          <w:tcPr>
            <w:tcW w:w="7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664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№</w:t>
            </w: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02-01-02/1</w:t>
            </w:r>
          </w:p>
        </w:tc>
        <w:tc>
          <w:tcPr>
            <w:tcW w:w="3484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659" w:type="dxa"/>
            <w:gridSpan w:val="3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3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86" w:type="dxa"/>
            <w:gridSpan w:val="3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2266" w:type="dxa"/>
            <w:gridSpan w:val="5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2" w:type="dxa"/>
            <w:gridSpan w:val="5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30" w:hRule="atLeast"/>
        </w:trPr>
        <w:tc>
          <w:tcPr>
            <w:tcW w:w="7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5148" w:type="dxa"/>
            <w:gridSpan w:val="4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Итого включено Дополнительным соглашением №</w:t>
            </w:r>
          </w:p>
        </w:tc>
        <w:tc>
          <w:tcPr>
            <w:tcW w:w="1659" w:type="dxa"/>
            <w:gridSpan w:val="3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3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86" w:type="dxa"/>
            <w:gridSpan w:val="3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2266" w:type="dxa"/>
            <w:gridSpan w:val="5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2" w:type="dxa"/>
            <w:gridSpan w:val="5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222" w:hRule="atLeast"/>
        </w:trPr>
        <w:tc>
          <w:tcPr>
            <w:tcW w:w="7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5148" w:type="dxa"/>
            <w:gridSpan w:val="4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Итого по Главе 2. "Основные объекты"</w:t>
            </w:r>
          </w:p>
        </w:tc>
        <w:tc>
          <w:tcPr>
            <w:tcW w:w="1659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3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86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2266" w:type="dxa"/>
            <w:gridSpan w:val="5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2" w:type="dxa"/>
            <w:gridSpan w:val="5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7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5148" w:type="dxa"/>
            <w:gridSpan w:val="4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Всего по сводному сметному расчету, без учета НДС</w:t>
            </w:r>
          </w:p>
        </w:tc>
        <w:tc>
          <w:tcPr>
            <w:tcW w:w="1659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3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86" w:type="dxa"/>
            <w:gridSpan w:val="3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2266" w:type="dxa"/>
            <w:gridSpan w:val="5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2" w:type="dxa"/>
            <w:gridSpan w:val="5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b/>
                <w:b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60" w:hRule="atLeast"/>
        </w:trPr>
        <w:tc>
          <w:tcPr>
            <w:tcW w:w="7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664" w:type="dxa"/>
            <w:gridSpan w:val="2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3484" w:type="dxa"/>
            <w:gridSpan w:val="2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>сумма основного договора (без НДС)</w:t>
            </w:r>
          </w:p>
        </w:tc>
        <w:tc>
          <w:tcPr>
            <w:tcW w:w="1659" w:type="dxa"/>
            <w:gridSpan w:val="3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3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86" w:type="dxa"/>
            <w:gridSpan w:val="3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2266" w:type="dxa"/>
            <w:gridSpan w:val="5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2" w:type="dxa"/>
            <w:gridSpan w:val="5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771" w:hRule="atLeast"/>
        </w:trPr>
        <w:tc>
          <w:tcPr>
            <w:tcW w:w="7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664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ДС №___ от ___.__.20___г.</w:t>
            </w:r>
          </w:p>
        </w:tc>
        <w:tc>
          <w:tcPr>
            <w:tcW w:w="3484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>сумма увеличения основного договора на основании дополнительного соглашения № ___ без НДС</w:t>
            </w:r>
          </w:p>
        </w:tc>
        <w:tc>
          <w:tcPr>
            <w:tcW w:w="1659" w:type="dxa"/>
            <w:gridSpan w:val="3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86" w:type="dxa"/>
            <w:gridSpan w:val="3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2266" w:type="dxa"/>
            <w:gridSpan w:val="5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2" w:type="dxa"/>
            <w:gridSpan w:val="5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 xml:space="preserve">0  </w:t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75" w:hRule="atLeast"/>
        </w:trPr>
        <w:tc>
          <w:tcPr>
            <w:tcW w:w="722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664" w:type="dxa"/>
            <w:gridSpan w:val="2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Составил:</w:t>
            </w:r>
          </w:p>
        </w:tc>
        <w:tc>
          <w:tcPr>
            <w:tcW w:w="3484" w:type="dxa"/>
            <w:gridSpan w:val="2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659" w:type="dxa"/>
            <w:gridSpan w:val="3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3" w:type="dxa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86" w:type="dxa"/>
            <w:gridSpan w:val="3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2266" w:type="dxa"/>
            <w:gridSpan w:val="5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2" w:type="dxa"/>
            <w:gridSpan w:val="5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722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664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3484" w:type="dxa"/>
            <w:gridSpan w:val="2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5488" w:type="dxa"/>
            <w:gridSpan w:val="7"/>
            <w:tcBorders>
              <w:top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>(должность, подпись, расшифровка)</w:t>
            </w:r>
          </w:p>
        </w:tc>
        <w:tc>
          <w:tcPr>
            <w:tcW w:w="2266" w:type="dxa"/>
            <w:gridSpan w:val="5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2" w:type="dxa"/>
            <w:gridSpan w:val="5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722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664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Проверил:</w:t>
            </w:r>
          </w:p>
        </w:tc>
        <w:tc>
          <w:tcPr>
            <w:tcW w:w="3484" w:type="dxa"/>
            <w:gridSpan w:val="2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659" w:type="dxa"/>
            <w:gridSpan w:val="3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3" w:type="dxa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986" w:type="dxa"/>
            <w:gridSpan w:val="3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2266" w:type="dxa"/>
            <w:gridSpan w:val="5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2" w:type="dxa"/>
            <w:gridSpan w:val="5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312" w:hRule="atLeast"/>
        </w:trPr>
        <w:tc>
          <w:tcPr>
            <w:tcW w:w="722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right"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664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3484" w:type="dxa"/>
            <w:gridSpan w:val="2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5488" w:type="dxa"/>
            <w:gridSpan w:val="7"/>
            <w:tcBorders>
              <w:top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>(должность, подпись, расшифровка)</w:t>
            </w:r>
          </w:p>
        </w:tc>
        <w:tc>
          <w:tcPr>
            <w:tcW w:w="2266" w:type="dxa"/>
            <w:gridSpan w:val="5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1842" w:type="dxa"/>
            <w:gridSpan w:val="5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z w:val="18"/>
                <w:szCs w:val="18"/>
                <w:shd w:fill="auto" w:val="clear"/>
              </w:rPr>
              <w:t> </w:t>
            </w:r>
          </w:p>
        </w:tc>
        <w:tc>
          <w:tcPr>
            <w:tcW w:w="731" w:type="dxa"/>
            <w:tcBorders/>
          </w:tcPr>
          <w:p>
            <w:pPr>
              <w:pStyle w:val="Normal"/>
              <w:widowControl w:val="false"/>
              <w:spacing w:before="0" w:after="200"/>
              <w:contextualSpacing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</w:tbl>
    <w:p>
      <w:pPr>
        <w:pStyle w:val="ConsPlusNormal1"/>
        <w:jc w:val="right"/>
        <w:rPr>
          <w:rFonts w:ascii="Times New Roman" w:hAnsi="Times New Roman" w:cs="Times New Roman"/>
          <w:highlight w:val="none"/>
          <w:shd w:fill="auto" w:val="clear"/>
        </w:rPr>
      </w:pPr>
      <w:r>
        <w:rPr>
          <w:rFonts w:cs="Times New Roman" w:ascii="Times New Roman" w:hAnsi="Times New Roman"/>
          <w:shd w:fill="auto" w:val="clear"/>
        </w:rPr>
      </w:r>
    </w:p>
    <w:p>
      <w:pPr>
        <w:sectPr>
          <w:footerReference w:type="default" r:id="rId9"/>
          <w:footerReference w:type="first" r:id="rId10"/>
          <w:type w:val="nextPage"/>
          <w:pgSz w:orient="landscape" w:w="16838" w:h="11906"/>
          <w:pgMar w:left="425" w:right="851" w:gutter="0" w:header="0" w:top="1276" w:footer="709" w:bottom="766"/>
          <w:pgNumType w:fmt="decimal"/>
          <w:formProt w:val="false"/>
          <w:textDirection w:val="lrTb"/>
          <w:docGrid w:type="default" w:linePitch="360" w:charSpace="0"/>
        </w:sectPr>
        <w:pStyle w:val="Normal"/>
        <w:spacing w:lineRule="auto" w:line="240" w:before="0" w:after="0"/>
        <w:contextualSpacing/>
        <w:rPr>
          <w:highlight w:val="none"/>
          <w:shd w:fill="auto" w:val="clear"/>
        </w:rPr>
      </w:pPr>
      <w:r>
        <w:rPr/>
        <w:object>
          <v:shapetype id="_x0000_tole_rId7" coordsize="21600,21600" o:spt="ole_rId7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7" type="_x0000_tole_rId7" style="width:79.4pt;height:50.45pt;mso-wrap-distance-right:0pt" filled="f" o:ole="">
            <v:imagedata r:id="rId8" o:title=""/>
          </v:shape>
          <o:OLEObject Type="Embed" ProgID="Excel.Sheet.12" ShapeID="ole_rId7" DrawAspect="Icon" ObjectID="_260192789" r:id="rId7"/>
        </w:object>
      </w:r>
    </w:p>
    <w:p>
      <w:pPr>
        <w:pStyle w:val="Normal"/>
        <w:spacing w:lineRule="auto" w:line="240" w:before="0" w:after="0"/>
        <w:ind w:left="357" w:hanging="0"/>
        <w:contextualSpacing/>
        <w:rPr>
          <w:rFonts w:ascii="Times New Roman" w:hAnsi="Times New Roman"/>
          <w:b/>
          <w:highlight w:val="none"/>
          <w:shd w:fill="auto" w:val="clear"/>
        </w:rPr>
      </w:pPr>
      <w:r>
        <w:rPr>
          <w:rFonts w:ascii="Times New Roman" w:hAnsi="Times New Roman"/>
          <w:b/>
          <w:shd w:fill="auto" w:val="clear"/>
        </w:rPr>
      </w:r>
      <w:bookmarkStart w:id="0" w:name="P2746"/>
      <w:bookmarkStart w:id="1" w:name="P2736"/>
      <w:bookmarkStart w:id="2" w:name="P2566"/>
      <w:bookmarkStart w:id="3" w:name="P2546"/>
      <w:bookmarkStart w:id="4" w:name="P2530"/>
      <w:bookmarkStart w:id="5" w:name="P2526"/>
      <w:bookmarkStart w:id="6" w:name="P2529"/>
      <w:bookmarkStart w:id="7" w:name="P3258"/>
      <w:bookmarkStart w:id="8" w:name="P2945"/>
      <w:bookmarkStart w:id="9" w:name="P2616"/>
      <w:bookmarkStart w:id="10" w:name="P2531"/>
      <w:bookmarkStart w:id="11" w:name="P2506"/>
      <w:bookmarkStart w:id="12" w:name="P2522"/>
      <w:bookmarkStart w:id="13" w:name="P2523"/>
      <w:bookmarkStart w:id="14" w:name="P2524"/>
      <w:bookmarkStart w:id="15" w:name="P2525"/>
      <w:bookmarkStart w:id="16" w:name="P2527"/>
      <w:bookmarkStart w:id="17" w:name="P2528"/>
      <w:bookmarkStart w:id="18" w:name="P2746"/>
      <w:bookmarkStart w:id="19" w:name="P2736"/>
      <w:bookmarkStart w:id="20" w:name="P2566"/>
      <w:bookmarkStart w:id="21" w:name="P2546"/>
      <w:bookmarkStart w:id="22" w:name="P2530"/>
      <w:bookmarkStart w:id="23" w:name="P2526"/>
      <w:bookmarkStart w:id="24" w:name="P2529"/>
      <w:bookmarkStart w:id="25" w:name="P3258"/>
      <w:bookmarkStart w:id="26" w:name="P2945"/>
      <w:bookmarkStart w:id="27" w:name="P2616"/>
      <w:bookmarkStart w:id="28" w:name="P2531"/>
      <w:bookmarkStart w:id="29" w:name="P2506"/>
      <w:bookmarkStart w:id="30" w:name="P2522"/>
      <w:bookmarkStart w:id="31" w:name="P2523"/>
      <w:bookmarkStart w:id="32" w:name="P2524"/>
      <w:bookmarkStart w:id="33" w:name="P2525"/>
      <w:bookmarkStart w:id="34" w:name="P2527"/>
      <w:bookmarkStart w:id="35" w:name="P2528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</w:p>
    <w:p>
      <w:pPr>
        <w:pStyle w:val="Normal"/>
        <w:spacing w:lineRule="auto" w:line="240" w:before="0" w:after="0"/>
        <w:ind w:left="426" w:hanging="426"/>
        <w:contextualSpacing/>
        <w:rPr>
          <w:highlight w:val="none"/>
          <w:shd w:fill="auto" w:val="clear"/>
        </w:rPr>
      </w:pPr>
      <w:r>
        <w:rPr>
          <w:rFonts w:ascii="Times New Roman" w:hAnsi="Times New Roman"/>
          <w:b/>
          <w:sz w:val="20"/>
          <w:szCs w:val="20"/>
          <w:shd w:fill="auto" w:val="clear"/>
        </w:rPr>
        <w:t>ОБРАЗЕЦ</w:t>
      </w:r>
    </w:p>
    <w:p>
      <w:pPr>
        <w:pStyle w:val="Normal"/>
        <w:spacing w:lineRule="auto" w:line="240" w:before="0" w:after="0"/>
        <w:ind w:left="5811" w:firstLine="720"/>
        <w:contextualSpacing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 xml:space="preserve"> </w:t>
      </w:r>
      <w:r>
        <w:rPr>
          <w:rFonts w:ascii="Times New Roman" w:hAnsi="Times New Roman"/>
          <w:sz w:val="20"/>
          <w:szCs w:val="20"/>
          <w:shd w:fill="auto" w:val="clear"/>
        </w:rPr>
        <w:t xml:space="preserve">Приложение №1.3 </w:t>
      </w:r>
    </w:p>
    <w:p>
      <w:pPr>
        <w:pStyle w:val="ConsPlusNormal1"/>
        <w:ind w:left="5811" w:firstLine="720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 xml:space="preserve"> </w:t>
      </w:r>
    </w:p>
    <w:p>
      <w:pPr>
        <w:pStyle w:val="ConsPlusNormal1"/>
        <w:ind w:left="5811" w:firstLine="72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 xml:space="preserve"> </w:t>
      </w:r>
      <w:r>
        <w:rPr>
          <w:rFonts w:ascii="Times New Roman" w:hAnsi="Times New Roman"/>
          <w:shd w:fill="auto" w:val="clear"/>
        </w:rPr>
        <w:t xml:space="preserve">к Требованиям к оформлению и составлению               </w:t>
      </w:r>
    </w:p>
    <w:p>
      <w:pPr>
        <w:pStyle w:val="ConsPlusNormal1"/>
        <w:ind w:left="5811" w:firstLine="72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 xml:space="preserve">сметной документации на выполнение работ </w:t>
      </w:r>
    </w:p>
    <w:p>
      <w:pPr>
        <w:pStyle w:val="ConsPlusNormal1"/>
        <w:ind w:left="5811" w:firstLine="72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 xml:space="preserve"> </w:t>
      </w:r>
      <w:r>
        <w:rPr>
          <w:rFonts w:ascii="Times New Roman" w:hAnsi="Times New Roman"/>
          <w:shd w:fill="auto" w:val="clear"/>
        </w:rPr>
        <w:t>по строительству и реконструкции объектов капитального строительства</w:t>
      </w:r>
    </w:p>
    <w:p>
      <w:pPr>
        <w:pStyle w:val="ConsPlusNormal1"/>
        <w:ind w:left="5811" w:firstLine="720"/>
        <w:jc w:val="right"/>
        <w:rPr>
          <w:rFonts w:ascii="Times New Roman" w:hAnsi="Times New Roman"/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</w:r>
    </w:p>
    <w:p>
      <w:pPr>
        <w:pStyle w:val="ConsPlusNormal1"/>
        <w:ind w:left="5811" w:firstLine="72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Приложение №___</w:t>
      </w:r>
    </w:p>
    <w:p>
      <w:pPr>
        <w:pStyle w:val="ConsPlusNormal1"/>
        <w:ind w:left="5811" w:firstLine="72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к дополнительному соглашению от ___ № ___</w:t>
      </w:r>
    </w:p>
    <w:p>
      <w:pPr>
        <w:pStyle w:val="ConsPlusNormal1"/>
        <w:ind w:left="5811" w:firstLine="72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 xml:space="preserve">                                   </w:t>
      </w:r>
      <w:r>
        <w:rPr>
          <w:rFonts w:ascii="Times New Roman" w:hAnsi="Times New Roman"/>
          <w:shd w:fill="auto" w:val="clear"/>
        </w:rPr>
        <w:t xml:space="preserve">к договору от_______№_____ </w:t>
      </w:r>
    </w:p>
    <w:p>
      <w:pPr>
        <w:pStyle w:val="ConsPlusNormal1"/>
        <w:jc w:val="center"/>
        <w:rPr>
          <w:rFonts w:ascii="Times New Roman" w:hAnsi="Times New Roman"/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</w:r>
    </w:p>
    <w:p>
      <w:pPr>
        <w:pStyle w:val="Normal"/>
        <w:widowControl w:val="false"/>
        <w:spacing w:lineRule="auto" w:line="240" w:before="0" w:after="0"/>
        <w:contextualSpacing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b/>
          <w:sz w:val="20"/>
          <w:szCs w:val="20"/>
          <w:shd w:fill="auto" w:val="clear"/>
        </w:rPr>
        <w:t>Сопоставительная ведомость изменения сметной стоимости</w:t>
      </w:r>
    </w:p>
    <w:p>
      <w:pPr>
        <w:pStyle w:val="Normal"/>
        <w:widowControl w:val="false"/>
        <w:spacing w:lineRule="auto" w:line="240" w:before="0" w:after="0"/>
        <w:contextualSpacing/>
        <w:jc w:val="both"/>
        <w:rPr>
          <w:rFonts w:ascii="Times New Roman" w:hAnsi="Times New Roman"/>
          <w:b/>
          <w:sz w:val="20"/>
          <w:szCs w:val="20"/>
          <w:highlight w:val="none"/>
          <w:shd w:fill="auto" w:val="clear"/>
        </w:rPr>
      </w:pPr>
      <w:r>
        <w:rPr>
          <w:rFonts w:ascii="Times New Roman" w:hAnsi="Times New Roman"/>
          <w:b/>
          <w:sz w:val="20"/>
          <w:szCs w:val="20"/>
          <w:shd w:fill="auto" w:val="clear"/>
        </w:rPr>
      </w:r>
    </w:p>
    <w:tbl>
      <w:tblPr>
        <w:tblW w:w="10206" w:type="dxa"/>
        <w:jc w:val="left"/>
        <w:tblInd w:w="488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noVBand="0" w:noHBand="0" w:lastColumn="0" w:firstColumn="0" w:lastRow="0" w:firstRow="0"/>
      </w:tblPr>
      <w:tblGrid>
        <w:gridCol w:w="424"/>
        <w:gridCol w:w="850"/>
        <w:gridCol w:w="851"/>
        <w:gridCol w:w="1276"/>
        <w:gridCol w:w="1276"/>
        <w:gridCol w:w="1701"/>
        <w:gridCol w:w="1711"/>
        <w:gridCol w:w="2115"/>
      </w:tblGrid>
      <w:tr>
        <w:trPr>
          <w:trHeight w:val="433" w:hRule="atLeast"/>
        </w:trPr>
        <w:tc>
          <w:tcPr>
            <w:tcW w:w="42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 xml:space="preserve">№ </w:t>
            </w: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п/п</w:t>
            </w:r>
          </w:p>
        </w:tc>
        <w:tc>
          <w:tcPr>
            <w:tcW w:w="297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Данные сметного расчета (сметы)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Сметная стоимость, тыс. руб.</w:t>
            </w:r>
          </w:p>
        </w:tc>
        <w:tc>
          <w:tcPr>
            <w:tcW w:w="17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Разница в сметной стоимости, руб.</w:t>
            </w:r>
          </w:p>
        </w:tc>
        <w:tc>
          <w:tcPr>
            <w:tcW w:w="211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Обоснование изменений сметной стоимости</w:t>
            </w:r>
          </w:p>
        </w:tc>
      </w:tr>
      <w:tr>
        <w:trPr/>
        <w:tc>
          <w:tcPr>
            <w:tcW w:w="424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59" w:before="0" w:after="160"/>
              <w:contextualSpacing/>
              <w:rPr>
                <w:rFonts w:ascii="Times New Roman" w:hAnsi="Times New Roman" w:eastAsia="Calibri"/>
                <w:sz w:val="18"/>
                <w:szCs w:val="18"/>
                <w:highlight w:val="none"/>
                <w:shd w:fill="auto" w:val="clear"/>
                <w:lang w:eastAsia="en-US"/>
              </w:rPr>
            </w:pPr>
            <w:r>
              <w:rPr>
                <w:rFonts w:eastAsia="Calibri" w:ascii="Times New Roman" w:hAnsi="Times New Roman"/>
                <w:sz w:val="18"/>
                <w:szCs w:val="18"/>
                <w:shd w:fill="auto" w:val="clear"/>
                <w:lang w:eastAsia="en-US"/>
              </w:rPr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шифр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наименование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 xml:space="preserve">№ </w:t>
            </w: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позиции сметного расчета (сметы) в ССР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подлежащая включению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подлежащая исключению</w:t>
            </w:r>
          </w:p>
        </w:tc>
        <w:tc>
          <w:tcPr>
            <w:tcW w:w="1711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59" w:before="0" w:after="160"/>
              <w:contextualSpacing/>
              <w:rPr>
                <w:rFonts w:ascii="Times New Roman" w:hAnsi="Times New Roman" w:eastAsia="Calibri"/>
                <w:sz w:val="18"/>
                <w:szCs w:val="18"/>
                <w:highlight w:val="none"/>
                <w:shd w:fill="auto" w:val="clear"/>
                <w:lang w:eastAsia="en-US"/>
              </w:rPr>
            </w:pPr>
            <w:r>
              <w:rPr>
                <w:rFonts w:eastAsia="Calibri" w:ascii="Times New Roman" w:hAnsi="Times New Roman"/>
                <w:sz w:val="18"/>
                <w:szCs w:val="18"/>
                <w:shd w:fill="auto" w:val="clear"/>
                <w:lang w:eastAsia="en-US"/>
              </w:rPr>
            </w:r>
          </w:p>
        </w:tc>
        <w:tc>
          <w:tcPr>
            <w:tcW w:w="2115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59" w:before="0" w:after="160"/>
              <w:contextualSpacing/>
              <w:rPr>
                <w:rFonts w:ascii="Times New Roman" w:hAnsi="Times New Roman" w:eastAsia="Calibri"/>
                <w:sz w:val="18"/>
                <w:szCs w:val="18"/>
                <w:highlight w:val="none"/>
                <w:shd w:fill="auto" w:val="clear"/>
                <w:lang w:eastAsia="en-US"/>
              </w:rPr>
            </w:pPr>
            <w:r>
              <w:rPr>
                <w:rFonts w:eastAsia="Calibri" w:ascii="Times New Roman" w:hAnsi="Times New Roman"/>
                <w:sz w:val="18"/>
                <w:szCs w:val="18"/>
                <w:shd w:fill="auto" w:val="clear"/>
                <w:lang w:eastAsia="en-US"/>
              </w:rPr>
            </w:r>
          </w:p>
        </w:tc>
      </w:tr>
      <w:tr>
        <w:trPr/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5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6</w:t>
            </w:r>
          </w:p>
        </w:tc>
        <w:tc>
          <w:tcPr>
            <w:tcW w:w="1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7</w:t>
            </w:r>
          </w:p>
        </w:tc>
        <w:tc>
          <w:tcPr>
            <w:tcW w:w="2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  <w:t>8</w:t>
            </w:r>
          </w:p>
        </w:tc>
      </w:tr>
      <w:tr>
        <w:trPr/>
        <w:tc>
          <w:tcPr>
            <w:tcW w:w="4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1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  <w:tc>
          <w:tcPr>
            <w:tcW w:w="2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18"/>
                <w:szCs w:val="18"/>
                <w:shd w:fill="auto" w:val="clear"/>
              </w:rPr>
            </w:r>
          </w:p>
        </w:tc>
      </w:tr>
    </w:tbl>
    <w:p>
      <w:pPr>
        <w:pStyle w:val="Normal"/>
        <w:widowControl w:val="false"/>
        <w:spacing w:lineRule="auto" w:line="240" w:before="0" w:after="0"/>
        <w:contextualSpacing/>
        <w:jc w:val="both"/>
        <w:rPr>
          <w:rFonts w:ascii="Times New Roman" w:hAnsi="Times New Roman"/>
          <w:sz w:val="20"/>
          <w:szCs w:val="20"/>
          <w:highlight w:val="none"/>
          <w:shd w:fill="auto" w:val="clear"/>
        </w:rPr>
      </w:pPr>
      <w:r>
        <w:rPr>
          <w:rFonts w:ascii="Times New Roman" w:hAnsi="Times New Roman"/>
          <w:sz w:val="20"/>
          <w:szCs w:val="20"/>
          <w:shd w:fill="auto" w:val="clear"/>
        </w:rPr>
      </w:r>
    </w:p>
    <w:p>
      <w:pPr>
        <w:pStyle w:val="Normal"/>
        <w:spacing w:lineRule="auto" w:line="240" w:before="0" w:after="0"/>
        <w:ind w:left="357" w:firstLine="720"/>
        <w:contextualSpacing/>
        <w:jc w:val="right"/>
        <w:rPr>
          <w:rFonts w:ascii="Times New Roman" w:hAnsi="Times New Roman"/>
          <w:sz w:val="20"/>
          <w:szCs w:val="20"/>
          <w:highlight w:val="none"/>
          <w:shd w:fill="auto" w:val="clear"/>
        </w:rPr>
      </w:pPr>
      <w:r>
        <w:rPr>
          <w:rFonts w:ascii="Times New Roman" w:hAnsi="Times New Roman"/>
          <w:sz w:val="20"/>
          <w:szCs w:val="20"/>
          <w:shd w:fill="auto" w:val="clear"/>
        </w:rPr>
      </w:r>
      <w:r>
        <w:br w:type="page"/>
      </w:r>
    </w:p>
    <w:p>
      <w:pPr>
        <w:pStyle w:val="Normal"/>
        <w:spacing w:lineRule="auto" w:line="240" w:before="0" w:after="0"/>
        <w:ind w:left="357" w:firstLine="720"/>
        <w:contextualSpacing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z w:val="20"/>
          <w:szCs w:val="20"/>
          <w:shd w:fill="auto" w:val="clear"/>
        </w:rPr>
        <w:t xml:space="preserve">Приложение №1.4 </w:t>
      </w:r>
    </w:p>
    <w:p>
      <w:pPr>
        <w:pStyle w:val="ConsPlusNormal1"/>
        <w:ind w:left="5811" w:firstLine="72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 xml:space="preserve">Требованиям к оформлению и составлению </w:t>
      </w:r>
    </w:p>
    <w:p>
      <w:pPr>
        <w:pStyle w:val="ConsPlusNormal1"/>
        <w:ind w:left="5811" w:firstLine="72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 xml:space="preserve">сметной документации на выполнение работ </w:t>
      </w:r>
    </w:p>
    <w:p>
      <w:pPr>
        <w:pStyle w:val="ConsPlusNormal1"/>
        <w:ind w:left="5811" w:firstLine="72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 xml:space="preserve"> </w:t>
      </w:r>
      <w:r>
        <w:rPr>
          <w:rFonts w:ascii="Times New Roman" w:hAnsi="Times New Roman"/>
          <w:shd w:fill="auto" w:val="clear"/>
        </w:rPr>
        <w:t>по строительству и реконструкции объектов капитального строительства</w:t>
      </w:r>
    </w:p>
    <w:p>
      <w:pPr>
        <w:pStyle w:val="ConsPlusNormal1"/>
        <w:ind w:left="5811" w:firstLine="720"/>
        <w:jc w:val="right"/>
        <w:rPr>
          <w:rFonts w:ascii="Times New Roman" w:hAnsi="Times New Roman"/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</w:r>
    </w:p>
    <w:p>
      <w:pPr>
        <w:pStyle w:val="ConsPlusNormal1"/>
        <w:ind w:left="5811" w:firstLine="72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Приложение №___</w:t>
      </w:r>
    </w:p>
    <w:p>
      <w:pPr>
        <w:pStyle w:val="ConsPlusNormal1"/>
        <w:ind w:left="5811" w:firstLine="72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к дополнительному соглашению от ___ № ___</w:t>
      </w:r>
    </w:p>
    <w:p>
      <w:pPr>
        <w:pStyle w:val="ConsPlusNormal1"/>
        <w:ind w:left="5811" w:firstLine="72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 xml:space="preserve">к договору от_______№_____ </w:t>
      </w:r>
    </w:p>
    <w:p>
      <w:pPr>
        <w:pStyle w:val="Normal"/>
        <w:spacing w:lineRule="auto" w:line="240" w:before="0" w:after="0"/>
        <w:contextualSpacing/>
        <w:jc w:val="both"/>
        <w:rPr>
          <w:rFonts w:ascii="Times New Roman" w:hAnsi="Times New Roman"/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</w:r>
    </w:p>
    <w:p>
      <w:pPr>
        <w:pStyle w:val="Normal"/>
        <w:spacing w:lineRule="auto" w:line="240" w:before="0" w:after="0"/>
        <w:contextualSpacing/>
        <w:jc w:val="both"/>
        <w:rPr>
          <w:rFonts w:ascii="Times New Roman" w:hAnsi="Times New Roman"/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</w:r>
    </w:p>
    <w:p>
      <w:pPr>
        <w:pStyle w:val="Normal"/>
        <w:spacing w:lineRule="auto" w:line="240" w:before="0" w:after="0"/>
        <w:contextualSpacing/>
        <w:jc w:val="both"/>
        <w:rPr>
          <w:rFonts w:ascii="Times New Roman" w:hAnsi="Times New Roman"/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</w:r>
    </w:p>
    <w:p>
      <w:pPr>
        <w:pStyle w:val="Normal"/>
        <w:spacing w:lineRule="auto" w:line="240" w:before="0" w:after="0"/>
        <w:contextualSpacing/>
        <w:jc w:val="both"/>
        <w:rPr>
          <w:rFonts w:ascii="Times New Roman" w:hAnsi="Times New Roman"/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</w:r>
    </w:p>
    <w:p>
      <w:pPr>
        <w:pStyle w:val="ConsPlusNormal1"/>
        <w:jc w:val="center"/>
        <w:rPr>
          <w:highlight w:val="none"/>
          <w:shd w:fill="auto" w:val="clear"/>
        </w:rPr>
      </w:pPr>
      <w:r>
        <w:rPr>
          <w:rFonts w:cs="Times New Roman" w:ascii="Times New Roman" w:hAnsi="Times New Roman"/>
          <w:b/>
          <w:shd w:fill="auto" w:val="clear"/>
        </w:rPr>
        <w:t>Сопоставительная ведомость объемов работ</w:t>
      </w:r>
    </w:p>
    <w:p>
      <w:pPr>
        <w:pStyle w:val="ConsPlusNormal1"/>
        <w:jc w:val="center"/>
        <w:rPr>
          <w:rFonts w:ascii="Times New Roman" w:hAnsi="Times New Roman" w:cs="Times New Roman"/>
          <w:b/>
          <w:highlight w:val="none"/>
          <w:shd w:fill="auto" w:val="clear"/>
        </w:rPr>
      </w:pPr>
      <w:r>
        <w:rPr>
          <w:rFonts w:cs="Times New Roman" w:ascii="Times New Roman" w:hAnsi="Times New Roman"/>
          <w:b/>
          <w:shd w:fill="auto" w:val="clear"/>
        </w:rPr>
      </w:r>
    </w:p>
    <w:p>
      <w:pPr>
        <w:pStyle w:val="ConsPlusNormal1"/>
        <w:jc w:val="center"/>
        <w:rPr>
          <w:rFonts w:ascii="Times New Roman" w:hAnsi="Times New Roman" w:cs="Times New Roman"/>
          <w:b/>
          <w:color w:val="auto"/>
          <w:highlight w:val="none"/>
          <w:shd w:fill="auto" w:val="clear"/>
        </w:rPr>
      </w:pPr>
      <w:r>
        <w:rPr>
          <w:rFonts w:cs="Times New Roman" w:ascii="Times New Roman" w:hAnsi="Times New Roman"/>
          <w:b/>
          <w:color w:val="000000"/>
          <w:shd w:fill="auto" w:val="clear"/>
        </w:rPr>
      </w:r>
    </w:p>
    <w:p>
      <w:pPr>
        <w:pStyle w:val="ConsPlusNormal1"/>
        <w:jc w:val="both"/>
        <w:rPr>
          <w:b/>
          <w:color w:val="auto"/>
          <w:highlight w:val="none"/>
          <w:shd w:fill="auto" w:val="clear"/>
        </w:rPr>
      </w:pPr>
      <w:r>
        <w:rPr>
          <w:b/>
          <w:color w:val="000000"/>
          <w:shd w:fill="auto" w:val="clear"/>
        </w:rPr>
      </w:r>
    </w:p>
    <w:tbl>
      <w:tblPr>
        <w:tblW w:w="10773" w:type="dxa"/>
        <w:jc w:val="left"/>
        <w:tblInd w:w="204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</w:tblPr>
      <w:tblGrid>
        <w:gridCol w:w="425"/>
        <w:gridCol w:w="709"/>
        <w:gridCol w:w="851"/>
        <w:gridCol w:w="1208"/>
        <w:gridCol w:w="916"/>
        <w:gridCol w:w="850"/>
        <w:gridCol w:w="853"/>
        <w:gridCol w:w="851"/>
        <w:gridCol w:w="851"/>
        <w:gridCol w:w="706"/>
        <w:gridCol w:w="567"/>
        <w:gridCol w:w="850"/>
        <w:gridCol w:w="1135"/>
      </w:tblGrid>
      <w:tr>
        <w:trPr>
          <w:trHeight w:val="880" w:hRule="atLeast"/>
        </w:trPr>
        <w:tc>
          <w:tcPr>
            <w:tcW w:w="4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ind w:left="-62" w:right="0"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  <w:t xml:space="preserve">№№ </w:t>
            </w: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  <w:t>пп</w:t>
            </w:r>
          </w:p>
        </w:tc>
        <w:tc>
          <w:tcPr>
            <w:tcW w:w="368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ind w:left="0" w:right="0"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  <w:t>Данные сметного расчета (сметы)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ind w:left="0" w:right="0"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  <w:t>Наименование работ и затрат</w:t>
            </w: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ind w:left="0" w:right="0" w:hanging="63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  <w:t>Ед. изм.</w:t>
            </w:r>
          </w:p>
        </w:tc>
        <w:tc>
          <w:tcPr>
            <w:tcW w:w="1702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ind w:left="0" w:right="0"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  <w:t>Объем работ в сметной документации</w:t>
            </w:r>
          </w:p>
        </w:tc>
        <w:tc>
          <w:tcPr>
            <w:tcW w:w="1273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ind w:left="0" w:right="0"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  <w:t>Изменение объемов работ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ind w:left="0" w:right="0"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  <w:t>Обоснование изменений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ind w:left="1360" w:right="0" w:hanging="1416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  <w:t>Примечание</w:t>
            </w:r>
          </w:p>
        </w:tc>
      </w:tr>
      <w:tr>
        <w:trPr>
          <w:trHeight w:val="62" w:hRule="atLeast"/>
        </w:trPr>
        <w:tc>
          <w:tcPr>
            <w:tcW w:w="425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7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ind w:left="-797" w:right="0" w:firstLine="72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  <w:t>шифр</w:t>
            </w: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ind w:left="-64" w:right="0"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  <w:t>Наименование</w:t>
            </w:r>
          </w:p>
        </w:tc>
        <w:tc>
          <w:tcPr>
            <w:tcW w:w="21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ind w:left="0" w:right="0"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  <w:t xml:space="preserve">№ </w:t>
            </w: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  <w:t>позиции в сметном расчете</w:t>
            </w:r>
          </w:p>
        </w:tc>
        <w:tc>
          <w:tcPr>
            <w:tcW w:w="8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200"/>
              <w:jc w:val="center"/>
              <w:rPr>
                <w:rFonts w:ascii="Times New Roman" w:hAnsi="Times New Roman"/>
                <w:color w:val="auto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shd w:fill="auto" w:val="clear"/>
              </w:rPr>
            </w:r>
          </w:p>
        </w:tc>
        <w:tc>
          <w:tcPr>
            <w:tcW w:w="85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200"/>
              <w:jc w:val="center"/>
              <w:rPr>
                <w:rFonts w:ascii="Times New Roman" w:hAnsi="Times New Roman"/>
                <w:color w:val="auto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shd w:fill="auto" w:val="clear"/>
              </w:rPr>
            </w:r>
          </w:p>
        </w:tc>
        <w:tc>
          <w:tcPr>
            <w:tcW w:w="1702" w:type="dxa"/>
            <w:gridSpan w:val="2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273" w:type="dxa"/>
            <w:gridSpan w:val="2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8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200"/>
              <w:jc w:val="center"/>
              <w:rPr>
                <w:rFonts w:ascii="Times New Roman" w:hAnsi="Times New Roman"/>
                <w:color w:val="auto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shd w:fill="auto" w:val="clear"/>
              </w:rPr>
            </w:r>
          </w:p>
        </w:tc>
        <w:tc>
          <w:tcPr>
            <w:tcW w:w="11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200"/>
              <w:jc w:val="center"/>
              <w:rPr>
                <w:rFonts w:ascii="Times New Roman" w:hAnsi="Times New Roman"/>
                <w:color w:val="auto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  <w:shd w:fill="auto" w:val="clear"/>
              </w:rPr>
            </w:r>
          </w:p>
        </w:tc>
      </w:tr>
      <w:tr>
        <w:trPr>
          <w:trHeight w:val="1308" w:hRule="atLeast"/>
        </w:trPr>
        <w:tc>
          <w:tcPr>
            <w:tcW w:w="425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709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851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ind w:left="0" w:right="0" w:hanging="0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  <w:t>до изменений</w:t>
            </w:r>
          </w:p>
        </w:tc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ind w:left="0" w:right="0" w:hanging="0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  <w:t>с учетом изменений</w:t>
            </w:r>
          </w:p>
        </w:tc>
        <w:tc>
          <w:tcPr>
            <w:tcW w:w="850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853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ind w:left="0" w:right="0" w:firstLine="79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  <w:t>до изменений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ind w:left="0" w:right="0" w:hanging="0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  <w:t>с учетом изменений</w:t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ind w:left="-800" w:right="0" w:firstLine="72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  <w:t>увели</w:t>
            </w:r>
          </w:p>
          <w:p>
            <w:pPr>
              <w:pStyle w:val="ConsPlusNormal1"/>
              <w:widowControl w:val="false"/>
              <w:ind w:left="-800" w:right="0" w:firstLine="72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  <w:t>чение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ind w:left="0" w:right="0"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  <w:t>снижение</w:t>
            </w:r>
          </w:p>
        </w:tc>
        <w:tc>
          <w:tcPr>
            <w:tcW w:w="850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135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232" w:hRule="atLeast"/>
        </w:trPr>
        <w:tc>
          <w:tcPr>
            <w:tcW w:w="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</w:r>
          </w:p>
        </w:tc>
        <w:tc>
          <w:tcPr>
            <w:tcW w:w="12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</w:r>
          </w:p>
        </w:tc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</w:r>
          </w:p>
        </w:tc>
        <w:tc>
          <w:tcPr>
            <w:tcW w:w="8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</w:r>
          </w:p>
        </w:tc>
        <w:tc>
          <w:tcPr>
            <w:tcW w:w="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color w:val="auto"/>
                <w:sz w:val="18"/>
                <w:szCs w:val="18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color w:val="000000"/>
                <w:sz w:val="18"/>
                <w:szCs w:val="18"/>
                <w:shd w:fill="auto" w:val="clear"/>
              </w:rPr>
            </w:r>
          </w:p>
        </w:tc>
      </w:tr>
    </w:tbl>
    <w:p>
      <w:pPr>
        <w:sectPr>
          <w:footerReference w:type="default" r:id="rId11"/>
          <w:footerReference w:type="first" r:id="rId12"/>
          <w:type w:val="nextPage"/>
          <w:pgSz w:w="11906" w:h="16838"/>
          <w:pgMar w:left="426" w:right="924" w:gutter="0" w:header="0" w:top="284" w:footer="709" w:bottom="766"/>
          <w:pgNumType w:fmt="decimal"/>
          <w:formProt w:val="false"/>
          <w:textDirection w:val="lrTb"/>
          <w:docGrid w:type="default" w:linePitch="360" w:charSpace="0"/>
        </w:sectPr>
        <w:pStyle w:val="ConsPlusNormal1"/>
        <w:jc w:val="both"/>
        <w:rPr>
          <w:rFonts w:ascii="Times New Roman" w:hAnsi="Times New Roman" w:cs="Times New Roman"/>
          <w:b/>
          <w:highlight w:val="none"/>
          <w:shd w:fill="auto" w:val="clear"/>
        </w:rPr>
      </w:pPr>
      <w:r>
        <w:rPr>
          <w:rFonts w:cs="Times New Roman" w:ascii="Times New Roman" w:hAnsi="Times New Roman"/>
          <w:b/>
          <w:shd w:fill="auto" w:val="clear"/>
        </w:rPr>
      </w:r>
    </w:p>
    <w:p>
      <w:pPr>
        <w:pStyle w:val="Normal"/>
        <w:spacing w:lineRule="auto" w:line="240" w:before="0" w:after="0"/>
        <w:ind w:left="5811" w:firstLine="72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0"/>
          <w:szCs w:val="20"/>
          <w:shd w:fill="auto" w:val="clear"/>
        </w:rPr>
        <w:t xml:space="preserve">Приложение № 1 </w:t>
      </w:r>
    </w:p>
    <w:p>
      <w:pPr>
        <w:pStyle w:val="Normal"/>
        <w:spacing w:lineRule="auto" w:line="240" w:before="0" w:after="0"/>
        <w:ind w:left="5811" w:firstLine="142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0"/>
          <w:szCs w:val="20"/>
          <w:shd w:fill="auto" w:val="clear"/>
        </w:rPr>
        <w:t xml:space="preserve">к Требованиям к оформлению и составлению сметной документации </w:t>
      </w:r>
    </w:p>
    <w:p>
      <w:pPr>
        <w:pStyle w:val="Normal"/>
        <w:spacing w:lineRule="auto" w:line="240" w:before="0" w:after="0"/>
        <w:ind w:left="5811" w:firstLine="142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0"/>
          <w:szCs w:val="20"/>
          <w:shd w:fill="auto" w:val="clear"/>
        </w:rPr>
        <w:t xml:space="preserve">на выполнение строительно-монтажных работ по строительству и реконструкции </w:t>
      </w:r>
    </w:p>
    <w:p>
      <w:pPr>
        <w:pStyle w:val="Normal"/>
        <w:spacing w:lineRule="auto" w:line="240" w:before="0" w:after="0"/>
        <w:ind w:left="5811" w:firstLine="142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0"/>
          <w:szCs w:val="20"/>
          <w:shd w:fill="auto" w:val="clear"/>
        </w:rPr>
        <w:t>объектов капитального строительства</w:t>
      </w:r>
    </w:p>
    <w:p>
      <w:pPr>
        <w:pStyle w:val="Normal"/>
        <w:spacing w:lineRule="auto" w:line="240" w:before="0" w:after="0"/>
        <w:ind w:left="5811" w:firstLine="720"/>
        <w:jc w:val="right"/>
        <w:rPr>
          <w:rFonts w:ascii="Times New Roman" w:hAnsi="Times New Roman"/>
          <w:color w:val="000000"/>
          <w:sz w:val="20"/>
          <w:szCs w:val="20"/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0"/>
          <w:szCs w:val="20"/>
          <w:shd w:fill="auto" w:val="clear"/>
        </w:rPr>
      </w:r>
    </w:p>
    <w:p>
      <w:pPr>
        <w:pStyle w:val="Normal"/>
        <w:spacing w:lineRule="auto" w:line="240" w:before="0" w:after="0"/>
        <w:rPr>
          <w:highlight w:val="none"/>
          <w:shd w:fill="auto" w:val="clear"/>
        </w:rPr>
      </w:pPr>
      <w:r>
        <w:rPr>
          <w:rFonts w:ascii="Times New Roman" w:hAnsi="Times New Roman"/>
          <w:b/>
          <w:color w:val="000000"/>
          <w:sz w:val="20"/>
          <w:szCs w:val="20"/>
          <w:shd w:fill="auto" w:val="clear"/>
        </w:rPr>
        <w:t>ОБРАЗЕЦ (</w:t>
      </w:r>
      <w:r>
        <w:rPr>
          <w:rFonts w:ascii="Times New Roman" w:hAnsi="Times New Roman"/>
          <w:b/>
          <w:color w:val="000000"/>
          <w:sz w:val="20"/>
          <w:szCs w:val="20"/>
          <w:shd w:fill="auto" w:val="clear"/>
          <w:lang w:val="en-US"/>
        </w:rPr>
        <w:t>Р</w:t>
      </w:r>
      <w:r>
        <w:rPr>
          <w:rFonts w:ascii="Times New Roman" w:hAnsi="Times New Roman"/>
          <w:b/>
          <w:color w:val="000000"/>
          <w:sz w:val="20"/>
          <w:szCs w:val="20"/>
          <w:shd w:fill="auto" w:val="clear"/>
        </w:rPr>
        <w:t>ИМ)</w:t>
      </w:r>
    </w:p>
    <w:p>
      <w:pPr>
        <w:pStyle w:val="Normal"/>
        <w:spacing w:lineRule="auto" w:line="240" w:before="0" w:after="0"/>
        <w:rPr>
          <w:rFonts w:ascii="Times New Roman" w:hAnsi="Times New Roman"/>
          <w:color w:val="000000"/>
          <w:sz w:val="20"/>
          <w:szCs w:val="20"/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0"/>
          <w:szCs w:val="20"/>
          <w:shd w:fill="auto" w:val="clear"/>
        </w:rPr>
      </w:r>
    </w:p>
    <w:tbl>
      <w:tblPr>
        <w:tblW w:w="5000" w:type="pct"/>
        <w:jc w:val="left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a0" w:noVBand="1" w:noHBand="0" w:lastColumn="0" w:firstColumn="1" w:lastRow="0" w:firstRow="1"/>
      </w:tblPr>
      <w:tblGrid>
        <w:gridCol w:w="1133"/>
        <w:gridCol w:w="1316"/>
        <w:gridCol w:w="692"/>
        <w:gridCol w:w="2815"/>
        <w:gridCol w:w="849"/>
        <w:gridCol w:w="1099"/>
        <w:gridCol w:w="665"/>
        <w:gridCol w:w="1042"/>
        <w:gridCol w:w="1083"/>
        <w:gridCol w:w="665"/>
        <w:gridCol w:w="1042"/>
        <w:gridCol w:w="506"/>
        <w:gridCol w:w="687"/>
        <w:gridCol w:w="2239"/>
      </w:tblGrid>
      <w:tr>
        <w:trPr>
          <w:trHeight w:val="285" w:hRule="atLeast"/>
        </w:trPr>
        <w:tc>
          <w:tcPr>
            <w:tcW w:w="3141" w:type="dxa"/>
            <w:gridSpan w:val="3"/>
            <w:tcBorders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b/>
                <w:bCs/>
                <w:color w:val="000000"/>
                <w:sz w:val="16"/>
                <w:szCs w:val="16"/>
                <w:shd w:fill="auto" w:val="clear"/>
              </w:rPr>
              <w:t>СОГЛАСОВАНО:</w:t>
            </w:r>
          </w:p>
        </w:tc>
        <w:tc>
          <w:tcPr>
            <w:tcW w:w="2815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b/>
                <w:bCs/>
                <w:color w:val="000000"/>
                <w:sz w:val="16"/>
                <w:szCs w:val="16"/>
                <w:shd w:fill="auto" w:val="clear"/>
              </w:rPr>
            </w:r>
          </w:p>
        </w:tc>
        <w:tc>
          <w:tcPr>
            <w:tcW w:w="849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99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665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42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83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665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4474" w:type="dxa"/>
            <w:gridSpan w:val="4"/>
            <w:tcBorders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b/>
                <w:bCs/>
                <w:color w:val="000000"/>
                <w:sz w:val="16"/>
                <w:szCs w:val="16"/>
                <w:shd w:fill="auto" w:val="clear"/>
              </w:rPr>
              <w:t>УТВЕРЖДАЮ:</w:t>
            </w:r>
          </w:p>
        </w:tc>
      </w:tr>
      <w:tr>
        <w:trPr>
          <w:trHeight w:val="225" w:hRule="exact"/>
        </w:trPr>
        <w:tc>
          <w:tcPr>
            <w:tcW w:w="5956" w:type="dxa"/>
            <w:gridSpan w:val="4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49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99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665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42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83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5139" w:type="dxa"/>
            <w:gridSpan w:val="5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</w:tr>
      <w:tr>
        <w:trPr>
          <w:trHeight w:val="345" w:hRule="atLeast"/>
        </w:trPr>
        <w:tc>
          <w:tcPr>
            <w:tcW w:w="1133" w:type="dxa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1316" w:type="dxa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right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692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right"/>
              <w:rPr>
                <w:rFonts w:ascii="Arial" w:hAnsi="Arial" w:cs="Arial"/>
                <w:color w:val="000000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</w:r>
          </w:p>
        </w:tc>
        <w:tc>
          <w:tcPr>
            <w:tcW w:w="2815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49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99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665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42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83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665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42" w:type="dxa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506" w:type="dxa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687" w:type="dxa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2239" w:type="dxa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right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 </w:t>
            </w:r>
          </w:p>
        </w:tc>
      </w:tr>
      <w:tr>
        <w:trPr>
          <w:trHeight w:val="330" w:hRule="atLeast"/>
        </w:trPr>
        <w:tc>
          <w:tcPr>
            <w:tcW w:w="2449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"_____" _____________202</w:t>
            </w: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  <w:lang w:val="en-US"/>
              </w:rPr>
              <w:t>5</w:t>
            </w: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 xml:space="preserve"> г</w:t>
            </w:r>
          </w:p>
        </w:tc>
        <w:tc>
          <w:tcPr>
            <w:tcW w:w="692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color w:val="000000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</w:r>
          </w:p>
        </w:tc>
        <w:tc>
          <w:tcPr>
            <w:tcW w:w="2815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49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99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665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42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83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665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42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506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687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2239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"_____" ________202</w:t>
            </w: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  <w:lang w:val="en-US"/>
              </w:rPr>
              <w:t>5</w:t>
            </w: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 xml:space="preserve"> г</w:t>
            </w:r>
          </w:p>
        </w:tc>
      </w:tr>
      <w:tr>
        <w:trPr>
          <w:trHeight w:val="225" w:hRule="atLeast"/>
        </w:trPr>
        <w:tc>
          <w:tcPr>
            <w:tcW w:w="3141" w:type="dxa"/>
            <w:gridSpan w:val="3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 xml:space="preserve">Наименование редакции сметных нормативов  </w:t>
            </w:r>
          </w:p>
        </w:tc>
        <w:tc>
          <w:tcPr>
            <w:tcW w:w="12692" w:type="dxa"/>
            <w:gridSpan w:val="11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color w:val="000000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</w:r>
          </w:p>
        </w:tc>
      </w:tr>
      <w:tr>
        <w:trPr>
          <w:trHeight w:val="300" w:hRule="atLeast"/>
        </w:trPr>
        <w:tc>
          <w:tcPr>
            <w:tcW w:w="3141" w:type="dxa"/>
            <w:gridSpan w:val="3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Наименование программного продукта</w:t>
            </w:r>
          </w:p>
        </w:tc>
        <w:tc>
          <w:tcPr>
            <w:tcW w:w="3664" w:type="dxa"/>
            <w:gridSpan w:val="2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ПК "ГРАНД-Смета 202</w:t>
            </w: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  <w:lang w:val="en-US"/>
              </w:rPr>
              <w:t>5</w:t>
            </w: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"</w:t>
            </w:r>
          </w:p>
        </w:tc>
        <w:tc>
          <w:tcPr>
            <w:tcW w:w="1099" w:type="dxa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665" w:type="dxa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1042" w:type="dxa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1083" w:type="dxa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665" w:type="dxa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1042" w:type="dxa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506" w:type="dxa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687" w:type="dxa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2239" w:type="dxa"/>
            <w:tcBorders>
              <w:bottom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 </w:t>
            </w:r>
          </w:p>
        </w:tc>
      </w:tr>
      <w:tr>
        <w:trPr>
          <w:trHeight w:val="165" w:hRule="exact"/>
        </w:trPr>
        <w:tc>
          <w:tcPr>
            <w:tcW w:w="1133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color w:val="000000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</w:r>
          </w:p>
        </w:tc>
        <w:tc>
          <w:tcPr>
            <w:tcW w:w="1316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692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2815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49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99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665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42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83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665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42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506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687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2239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</w:tr>
      <w:tr>
        <w:trPr>
          <w:trHeight w:val="225" w:hRule="atLeast"/>
        </w:trPr>
        <w:tc>
          <w:tcPr>
            <w:tcW w:w="15833" w:type="dxa"/>
            <w:gridSpan w:val="14"/>
            <w:tcBorders>
              <w:top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i/>
                <w:iCs/>
                <w:color w:val="000000"/>
                <w:sz w:val="16"/>
                <w:szCs w:val="16"/>
                <w:shd w:fill="auto" w:val="clear"/>
              </w:rPr>
              <w:t>(наименование стройки)</w:t>
            </w:r>
          </w:p>
        </w:tc>
      </w:tr>
      <w:tr>
        <w:trPr>
          <w:trHeight w:val="225" w:hRule="exact"/>
        </w:trPr>
        <w:tc>
          <w:tcPr>
            <w:tcW w:w="15833" w:type="dxa"/>
            <w:gridSpan w:val="1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</w:tr>
      <w:tr>
        <w:trPr>
          <w:trHeight w:val="225" w:hRule="atLeast"/>
        </w:trPr>
        <w:tc>
          <w:tcPr>
            <w:tcW w:w="15833" w:type="dxa"/>
            <w:gridSpan w:val="14"/>
            <w:tcBorders>
              <w:top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i/>
                <w:iCs/>
                <w:color w:val="000000"/>
                <w:sz w:val="16"/>
                <w:szCs w:val="16"/>
                <w:shd w:fill="auto" w:val="clear"/>
              </w:rPr>
              <w:t>(наименование объекта капитального строительства)</w:t>
            </w:r>
          </w:p>
        </w:tc>
      </w:tr>
      <w:tr>
        <w:trPr>
          <w:trHeight w:val="480" w:hRule="atLeast"/>
        </w:trPr>
        <w:tc>
          <w:tcPr>
            <w:tcW w:w="15833" w:type="dxa"/>
            <w:gridSpan w:val="1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b/>
                <w:bCs/>
                <w:color w:val="000000"/>
                <w:sz w:val="24"/>
                <w:szCs w:val="24"/>
                <w:shd w:fill="auto" w:val="clear"/>
              </w:rPr>
              <w:t xml:space="preserve">ЛОКАЛЬНЫЙ СМЕТНЫЙ РАСЧЕТ (СМЕТА) № </w:t>
            </w:r>
          </w:p>
        </w:tc>
      </w:tr>
    </w:tbl>
    <w:p>
      <w:pPr>
        <w:pStyle w:val="Normal"/>
        <w:spacing w:lineRule="auto" w:line="240" w:before="0" w:after="0"/>
        <w:ind w:left="6373" w:firstLine="720"/>
        <w:jc w:val="right"/>
        <w:rPr>
          <w:rFonts w:ascii="Times New Roman" w:hAnsi="Times New Roman"/>
          <w:color w:val="000000"/>
          <w:sz w:val="20"/>
          <w:szCs w:val="20"/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0"/>
          <w:szCs w:val="20"/>
          <w:shd w:fill="auto" w:val="clear"/>
        </w:rPr>
      </w:r>
    </w:p>
    <w:tbl>
      <w:tblPr>
        <w:tblW w:w="16000" w:type="dxa"/>
        <w:jc w:val="left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a0" w:noVBand="1" w:noHBand="0" w:lastColumn="0" w:firstColumn="1" w:lastRow="0" w:firstRow="1"/>
      </w:tblPr>
      <w:tblGrid>
        <w:gridCol w:w="1020"/>
        <w:gridCol w:w="1349"/>
        <w:gridCol w:w="11"/>
        <w:gridCol w:w="858"/>
        <w:gridCol w:w="11"/>
        <w:gridCol w:w="683"/>
        <w:gridCol w:w="10"/>
        <w:gridCol w:w="811"/>
        <w:gridCol w:w="8"/>
        <w:gridCol w:w="595"/>
        <w:gridCol w:w="13"/>
        <w:gridCol w:w="891"/>
        <w:gridCol w:w="8"/>
        <w:gridCol w:w="96"/>
        <w:gridCol w:w="16"/>
        <w:gridCol w:w="143"/>
        <w:gridCol w:w="9"/>
        <w:gridCol w:w="652"/>
        <w:gridCol w:w="9"/>
        <w:gridCol w:w="333"/>
        <w:gridCol w:w="11"/>
        <w:gridCol w:w="792"/>
        <w:gridCol w:w="10"/>
        <w:gridCol w:w="177"/>
        <w:gridCol w:w="10"/>
        <w:gridCol w:w="1384"/>
        <w:gridCol w:w="10"/>
        <w:gridCol w:w="76"/>
        <w:gridCol w:w="1"/>
        <w:gridCol w:w="7"/>
        <w:gridCol w:w="951"/>
        <w:gridCol w:w="11"/>
        <w:gridCol w:w="109"/>
        <w:gridCol w:w="11"/>
        <w:gridCol w:w="584"/>
        <w:gridCol w:w="8"/>
        <w:gridCol w:w="435"/>
        <w:gridCol w:w="11"/>
        <w:gridCol w:w="642"/>
        <w:gridCol w:w="24"/>
        <w:gridCol w:w="125"/>
        <w:gridCol w:w="22"/>
        <w:gridCol w:w="808"/>
        <w:gridCol w:w="360"/>
        <w:gridCol w:w="843"/>
        <w:gridCol w:w="48"/>
        <w:gridCol w:w="1000"/>
      </w:tblGrid>
      <w:tr>
        <w:trPr>
          <w:trHeight w:val="300" w:hRule="atLeast"/>
        </w:trPr>
        <w:tc>
          <w:tcPr>
            <w:tcW w:w="14996" w:type="dxa"/>
            <w:gridSpan w:val="46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Волжская ГЭС. ОРУ 220 кВ. Релейная защита и автоматика.Демонтажные работы</w:t>
            </w:r>
          </w:p>
        </w:tc>
        <w:tc>
          <w:tcPr>
            <w:tcW w:w="1000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225" w:hRule="atLeast"/>
        </w:trPr>
        <w:tc>
          <w:tcPr>
            <w:tcW w:w="14996" w:type="dxa"/>
            <w:gridSpan w:val="46"/>
            <w:tcBorders>
              <w:top w:val="single" w:sz="4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i/>
                <w:iCs/>
                <w:sz w:val="16"/>
                <w:szCs w:val="16"/>
                <w:shd w:fill="auto" w:val="clear"/>
              </w:rPr>
              <w:t xml:space="preserve"> </w:t>
            </w:r>
            <w:r>
              <w:rPr>
                <w:rFonts w:cs="Arial" w:ascii="Arial" w:hAnsi="Arial"/>
                <w:i/>
                <w:iCs/>
                <w:sz w:val="16"/>
                <w:szCs w:val="16"/>
                <w:shd w:fill="auto" w:val="clear"/>
              </w:rPr>
              <w:t>(наименование работ и затрат)</w:t>
            </w:r>
          </w:p>
        </w:tc>
        <w:tc>
          <w:tcPr>
            <w:tcW w:w="1000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240" w:hRule="atLeast"/>
        </w:trPr>
        <w:tc>
          <w:tcPr>
            <w:tcW w:w="1020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 xml:space="preserve">Составлен </w:t>
            </w:r>
          </w:p>
        </w:tc>
        <w:tc>
          <w:tcPr>
            <w:tcW w:w="1349" w:type="dxa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ресурсно-индексным</w:t>
            </w:r>
          </w:p>
        </w:tc>
        <w:tc>
          <w:tcPr>
            <w:tcW w:w="869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методом</w:t>
            </w:r>
          </w:p>
        </w:tc>
        <w:tc>
          <w:tcPr>
            <w:tcW w:w="694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color w:val="000000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</w:r>
          </w:p>
        </w:tc>
        <w:tc>
          <w:tcPr>
            <w:tcW w:w="821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507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26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0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03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668" w:type="dxa"/>
            <w:gridSpan w:val="7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78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38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02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30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251" w:type="dxa"/>
            <w:gridSpan w:val="3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00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</w:tr>
      <w:tr>
        <w:trPr>
          <w:trHeight w:val="300" w:hRule="atLeast"/>
        </w:trPr>
        <w:tc>
          <w:tcPr>
            <w:tcW w:w="1020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Основание</w:t>
            </w:r>
          </w:p>
        </w:tc>
        <w:tc>
          <w:tcPr>
            <w:tcW w:w="5240" w:type="dxa"/>
            <w:gridSpan w:val="11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ЭТЛ-13622-ЛС.1.ВОР</w:t>
            </w:r>
          </w:p>
        </w:tc>
        <w:tc>
          <w:tcPr>
            <w:tcW w:w="26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</w:r>
          </w:p>
        </w:tc>
        <w:tc>
          <w:tcPr>
            <w:tcW w:w="100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03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667" w:type="dxa"/>
            <w:gridSpan w:val="6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79" w:type="dxa"/>
            <w:gridSpan w:val="5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38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02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30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251" w:type="dxa"/>
            <w:gridSpan w:val="3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00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</w:tr>
      <w:tr>
        <w:trPr>
          <w:trHeight w:val="210" w:hRule="atLeast"/>
        </w:trPr>
        <w:tc>
          <w:tcPr>
            <w:tcW w:w="1020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5240" w:type="dxa"/>
            <w:gridSpan w:val="11"/>
            <w:tcBorders>
              <w:top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i/>
                <w:iCs/>
                <w:sz w:val="16"/>
                <w:szCs w:val="16"/>
                <w:shd w:fill="auto" w:val="clear"/>
              </w:rPr>
              <w:t>(проектная и (или) иная техническая документация)</w:t>
            </w:r>
          </w:p>
        </w:tc>
        <w:tc>
          <w:tcPr>
            <w:tcW w:w="26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Arial" w:hAnsi="Arial" w:cs="Arial"/>
                <w:i/>
                <w:i/>
                <w:iCs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i/>
                <w:iCs/>
                <w:sz w:val="16"/>
                <w:szCs w:val="16"/>
                <w:shd w:fill="auto" w:val="clear"/>
              </w:rPr>
            </w:r>
          </w:p>
        </w:tc>
        <w:tc>
          <w:tcPr>
            <w:tcW w:w="100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03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667" w:type="dxa"/>
            <w:gridSpan w:val="6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79" w:type="dxa"/>
            <w:gridSpan w:val="5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38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02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30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251" w:type="dxa"/>
            <w:gridSpan w:val="3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00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right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</w:tr>
      <w:tr>
        <w:trPr>
          <w:trHeight w:val="195" w:hRule="exact"/>
        </w:trPr>
        <w:tc>
          <w:tcPr>
            <w:tcW w:w="1020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349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69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694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21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507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26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0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03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668" w:type="dxa"/>
            <w:gridSpan w:val="7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78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38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02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30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251" w:type="dxa"/>
            <w:gridSpan w:val="3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00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</w:tr>
      <w:tr>
        <w:trPr>
          <w:trHeight w:val="300" w:hRule="atLeast"/>
        </w:trPr>
        <w:tc>
          <w:tcPr>
            <w:tcW w:w="5369" w:type="dxa"/>
            <w:gridSpan w:val="11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b/>
                <w:bCs/>
                <w:sz w:val="16"/>
                <w:szCs w:val="16"/>
                <w:shd w:fill="auto" w:val="clear"/>
              </w:rPr>
              <w:t xml:space="preserve">Составлен(а) в текущем уровне цен ,    2 кв. 2026 г.  </w:t>
            </w:r>
          </w:p>
        </w:tc>
        <w:tc>
          <w:tcPr>
            <w:tcW w:w="1011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b/>
                <w:bCs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b/>
                <w:bCs/>
                <w:sz w:val="16"/>
                <w:szCs w:val="16"/>
                <w:shd w:fill="auto" w:val="clear"/>
              </w:rPr>
            </w:r>
          </w:p>
        </w:tc>
        <w:tc>
          <w:tcPr>
            <w:tcW w:w="81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333" w:type="dxa"/>
            <w:gridSpan w:val="6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394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46" w:type="dxa"/>
            <w:gridSpan w:val="5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712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112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315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43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48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000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195" w:hRule="atLeast"/>
        </w:trPr>
        <w:tc>
          <w:tcPr>
            <w:tcW w:w="1020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349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69" w:type="dxa"/>
            <w:gridSpan w:val="2"/>
            <w:tcBorders>
              <w:top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694" w:type="dxa"/>
            <w:gridSpan w:val="2"/>
            <w:tcBorders>
              <w:top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821" w:type="dxa"/>
            <w:gridSpan w:val="2"/>
            <w:tcBorders>
              <w:top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1507" w:type="dxa"/>
            <w:gridSpan w:val="4"/>
            <w:tcBorders>
              <w:top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26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Arial" w:hAnsi="Arial" w:cs="Arial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</w:r>
          </w:p>
        </w:tc>
        <w:tc>
          <w:tcPr>
            <w:tcW w:w="100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03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668" w:type="dxa"/>
            <w:gridSpan w:val="7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78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38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02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30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251" w:type="dxa"/>
            <w:gridSpan w:val="3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00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</w:tr>
      <w:tr>
        <w:trPr>
          <w:trHeight w:val="240" w:hRule="atLeast"/>
        </w:trPr>
        <w:tc>
          <w:tcPr>
            <w:tcW w:w="2380" w:type="dxa"/>
            <w:gridSpan w:val="3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b/>
                <w:bCs/>
                <w:sz w:val="16"/>
                <w:szCs w:val="16"/>
                <w:shd w:fill="auto" w:val="clear"/>
              </w:rPr>
              <w:t xml:space="preserve">Сметная стоимость </w:t>
            </w:r>
          </w:p>
        </w:tc>
        <w:tc>
          <w:tcPr>
            <w:tcW w:w="869" w:type="dxa"/>
            <w:gridSpan w:val="2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693" w:type="dxa"/>
            <w:gridSpan w:val="2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right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  <w:lang w:val="en-US"/>
              </w:rPr>
              <w:t>0.00</w:t>
            </w:r>
          </w:p>
        </w:tc>
        <w:tc>
          <w:tcPr>
            <w:tcW w:w="819" w:type="dxa"/>
            <w:gridSpan w:val="2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тыс.руб.</w:t>
            </w:r>
          </w:p>
        </w:tc>
        <w:tc>
          <w:tcPr>
            <w:tcW w:w="1507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</w:r>
          </w:p>
        </w:tc>
        <w:tc>
          <w:tcPr>
            <w:tcW w:w="264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05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02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665" w:type="dxa"/>
            <w:gridSpan w:val="7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82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38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1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08" w:type="dxa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251" w:type="dxa"/>
            <w:gridSpan w:val="3"/>
            <w:tcBorders/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00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</w:tr>
      <w:tr>
        <w:trPr>
          <w:trHeight w:val="240" w:hRule="atLeast"/>
        </w:trPr>
        <w:tc>
          <w:tcPr>
            <w:tcW w:w="1020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349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i/>
                <w:iCs/>
                <w:sz w:val="16"/>
                <w:szCs w:val="16"/>
                <w:shd w:fill="auto" w:val="clear"/>
              </w:rPr>
              <w:t>в том числе:</w:t>
            </w:r>
          </w:p>
        </w:tc>
        <w:tc>
          <w:tcPr>
            <w:tcW w:w="869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i/>
                <w:i/>
                <w:iCs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i/>
                <w:iCs/>
                <w:sz w:val="16"/>
                <w:szCs w:val="16"/>
                <w:shd w:fill="auto" w:val="clear"/>
              </w:rPr>
            </w:r>
          </w:p>
        </w:tc>
        <w:tc>
          <w:tcPr>
            <w:tcW w:w="694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21" w:type="dxa"/>
            <w:gridSpan w:val="2"/>
            <w:tcBorders/>
          </w:tcPr>
          <w:p>
            <w:pPr>
              <w:pStyle w:val="Normal"/>
              <w:widowControl w:val="false"/>
              <w:spacing w:lineRule="auto" w:line="240" w:before="0" w:after="0"/>
              <w:jc w:val="right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507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26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0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03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668" w:type="dxa"/>
            <w:gridSpan w:val="7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78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38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02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30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251" w:type="dxa"/>
            <w:gridSpan w:val="3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00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</w:tr>
      <w:tr>
        <w:trPr>
          <w:trHeight w:val="240" w:hRule="atLeast"/>
        </w:trPr>
        <w:tc>
          <w:tcPr>
            <w:tcW w:w="1020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349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b/>
                <w:bCs/>
                <w:sz w:val="16"/>
                <w:szCs w:val="16"/>
                <w:shd w:fill="auto" w:val="clear"/>
              </w:rPr>
              <w:t>строительных работ</w:t>
            </w:r>
          </w:p>
        </w:tc>
        <w:tc>
          <w:tcPr>
            <w:tcW w:w="869" w:type="dxa"/>
            <w:gridSpan w:val="2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694" w:type="dxa"/>
            <w:gridSpan w:val="2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right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0,00</w:t>
            </w:r>
          </w:p>
        </w:tc>
        <w:tc>
          <w:tcPr>
            <w:tcW w:w="821" w:type="dxa"/>
            <w:gridSpan w:val="2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тыс.руб.</w:t>
            </w:r>
          </w:p>
        </w:tc>
        <w:tc>
          <w:tcPr>
            <w:tcW w:w="1507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</w:r>
          </w:p>
        </w:tc>
        <w:tc>
          <w:tcPr>
            <w:tcW w:w="26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0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03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668" w:type="dxa"/>
            <w:gridSpan w:val="7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2116" w:type="dxa"/>
            <w:gridSpan w:val="8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Средства на оплату труда рабочих</w:t>
            </w:r>
          </w:p>
        </w:tc>
        <w:tc>
          <w:tcPr>
            <w:tcW w:w="802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</w:r>
          </w:p>
        </w:tc>
        <w:tc>
          <w:tcPr>
            <w:tcW w:w="830" w:type="dxa"/>
            <w:gridSpan w:val="2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1251" w:type="dxa"/>
            <w:gridSpan w:val="3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</w:r>
          </w:p>
        </w:tc>
        <w:tc>
          <w:tcPr>
            <w:tcW w:w="1000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тыс.руб.</w:t>
            </w:r>
          </w:p>
        </w:tc>
      </w:tr>
      <w:tr>
        <w:trPr>
          <w:trHeight w:val="240" w:hRule="atLeast"/>
        </w:trPr>
        <w:tc>
          <w:tcPr>
            <w:tcW w:w="1020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</w:r>
          </w:p>
        </w:tc>
        <w:tc>
          <w:tcPr>
            <w:tcW w:w="1349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b/>
                <w:bCs/>
                <w:sz w:val="16"/>
                <w:szCs w:val="16"/>
                <w:shd w:fill="auto" w:val="clear"/>
              </w:rPr>
              <w:t>монтажных работ</w:t>
            </w:r>
          </w:p>
        </w:tc>
        <w:tc>
          <w:tcPr>
            <w:tcW w:w="869" w:type="dxa"/>
            <w:gridSpan w:val="2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694" w:type="dxa"/>
            <w:gridSpan w:val="2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right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  <w:lang w:val="en-US"/>
              </w:rPr>
              <w:t>0.00</w:t>
            </w:r>
          </w:p>
        </w:tc>
        <w:tc>
          <w:tcPr>
            <w:tcW w:w="821" w:type="dxa"/>
            <w:gridSpan w:val="2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тыс.руб.</w:t>
            </w:r>
          </w:p>
        </w:tc>
        <w:tc>
          <w:tcPr>
            <w:tcW w:w="1507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</w:r>
          </w:p>
        </w:tc>
        <w:tc>
          <w:tcPr>
            <w:tcW w:w="26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0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03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668" w:type="dxa"/>
            <w:gridSpan w:val="7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2116" w:type="dxa"/>
            <w:gridSpan w:val="8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Средства на оплату труда машинистов</w:t>
            </w:r>
          </w:p>
        </w:tc>
        <w:tc>
          <w:tcPr>
            <w:tcW w:w="802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</w:r>
          </w:p>
        </w:tc>
        <w:tc>
          <w:tcPr>
            <w:tcW w:w="830" w:type="dxa"/>
            <w:gridSpan w:val="2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1251" w:type="dxa"/>
            <w:gridSpan w:val="3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Arial" w:hAnsi="Arial" w:cs="Arial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</w:r>
          </w:p>
        </w:tc>
        <w:tc>
          <w:tcPr>
            <w:tcW w:w="1000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тыс.руб.</w:t>
            </w:r>
          </w:p>
        </w:tc>
      </w:tr>
      <w:tr>
        <w:trPr>
          <w:trHeight w:val="240" w:hRule="atLeast"/>
        </w:trPr>
        <w:tc>
          <w:tcPr>
            <w:tcW w:w="1020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</w:r>
          </w:p>
        </w:tc>
        <w:tc>
          <w:tcPr>
            <w:tcW w:w="1349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b/>
                <w:bCs/>
                <w:sz w:val="16"/>
                <w:szCs w:val="16"/>
                <w:shd w:fill="auto" w:val="clear"/>
              </w:rPr>
              <w:t>оборудования</w:t>
            </w:r>
          </w:p>
        </w:tc>
        <w:tc>
          <w:tcPr>
            <w:tcW w:w="869" w:type="dxa"/>
            <w:gridSpan w:val="2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694" w:type="dxa"/>
            <w:gridSpan w:val="2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right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0,00</w:t>
            </w:r>
          </w:p>
        </w:tc>
        <w:tc>
          <w:tcPr>
            <w:tcW w:w="821" w:type="dxa"/>
            <w:gridSpan w:val="2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тыс.руб.</w:t>
            </w:r>
          </w:p>
        </w:tc>
        <w:tc>
          <w:tcPr>
            <w:tcW w:w="1507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</w:r>
          </w:p>
        </w:tc>
        <w:tc>
          <w:tcPr>
            <w:tcW w:w="26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0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03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668" w:type="dxa"/>
            <w:gridSpan w:val="7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2116" w:type="dxa"/>
            <w:gridSpan w:val="8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Нормативные затраты труда рабочих</w:t>
            </w:r>
          </w:p>
        </w:tc>
        <w:tc>
          <w:tcPr>
            <w:tcW w:w="802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</w:r>
          </w:p>
        </w:tc>
        <w:tc>
          <w:tcPr>
            <w:tcW w:w="830" w:type="dxa"/>
            <w:gridSpan w:val="2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right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1251" w:type="dxa"/>
            <w:gridSpan w:val="3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right"/>
              <w:rPr>
                <w:rFonts w:ascii="Arial" w:hAnsi="Arial" w:cs="Arial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</w:r>
          </w:p>
        </w:tc>
        <w:tc>
          <w:tcPr>
            <w:tcW w:w="1000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чел.-ч.</w:t>
            </w:r>
          </w:p>
        </w:tc>
      </w:tr>
      <w:tr>
        <w:trPr>
          <w:trHeight w:val="240" w:hRule="atLeast"/>
        </w:trPr>
        <w:tc>
          <w:tcPr>
            <w:tcW w:w="1020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</w:r>
          </w:p>
        </w:tc>
        <w:tc>
          <w:tcPr>
            <w:tcW w:w="1349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b/>
                <w:bCs/>
                <w:sz w:val="16"/>
                <w:szCs w:val="16"/>
                <w:shd w:fill="auto" w:val="clear"/>
              </w:rPr>
              <w:t>прочих затрат</w:t>
            </w:r>
          </w:p>
        </w:tc>
        <w:tc>
          <w:tcPr>
            <w:tcW w:w="869" w:type="dxa"/>
            <w:gridSpan w:val="2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694" w:type="dxa"/>
            <w:gridSpan w:val="2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right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0,00</w:t>
            </w:r>
          </w:p>
        </w:tc>
        <w:tc>
          <w:tcPr>
            <w:tcW w:w="821" w:type="dxa"/>
            <w:gridSpan w:val="2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тыс.руб.</w:t>
            </w:r>
          </w:p>
        </w:tc>
        <w:tc>
          <w:tcPr>
            <w:tcW w:w="1507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</w:r>
          </w:p>
        </w:tc>
        <w:tc>
          <w:tcPr>
            <w:tcW w:w="26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0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03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668" w:type="dxa"/>
            <w:gridSpan w:val="7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2918" w:type="dxa"/>
            <w:gridSpan w:val="1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Нормативные затраты труда машинистов</w:t>
            </w:r>
          </w:p>
        </w:tc>
        <w:tc>
          <w:tcPr>
            <w:tcW w:w="830" w:type="dxa"/>
            <w:gridSpan w:val="2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right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 </w:t>
            </w:r>
          </w:p>
        </w:tc>
        <w:tc>
          <w:tcPr>
            <w:tcW w:w="1251" w:type="dxa"/>
            <w:gridSpan w:val="3"/>
            <w:tcBorders>
              <w:bottom w:val="single" w:sz="4" w:space="0" w:color="000000"/>
            </w:tcBorders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right"/>
              <w:rPr>
                <w:rFonts w:ascii="Arial" w:hAnsi="Arial" w:cs="Arial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</w:r>
          </w:p>
        </w:tc>
        <w:tc>
          <w:tcPr>
            <w:tcW w:w="1000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  <w:t>чел.-ч.</w:t>
            </w:r>
          </w:p>
        </w:tc>
      </w:tr>
      <w:tr>
        <w:trPr>
          <w:trHeight w:val="195" w:hRule="exact"/>
        </w:trPr>
        <w:tc>
          <w:tcPr>
            <w:tcW w:w="1020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sz w:val="16"/>
                <w:szCs w:val="16"/>
                <w:shd w:fill="auto" w:val="clear"/>
              </w:rPr>
            </w:r>
          </w:p>
        </w:tc>
        <w:tc>
          <w:tcPr>
            <w:tcW w:w="1349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69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694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21" w:type="dxa"/>
            <w:gridSpan w:val="2"/>
            <w:tcBorders/>
          </w:tcPr>
          <w:p>
            <w:pPr>
              <w:pStyle w:val="Normal"/>
              <w:widowControl w:val="false"/>
              <w:spacing w:lineRule="auto" w:line="240" w:before="0" w:after="0"/>
              <w:jc w:val="right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507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26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03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03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668" w:type="dxa"/>
            <w:gridSpan w:val="7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78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38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02" w:type="dxa"/>
            <w:gridSpan w:val="4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830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251" w:type="dxa"/>
            <w:gridSpan w:val="3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  <w:tc>
          <w:tcPr>
            <w:tcW w:w="1000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Times New Roman" w:hAnsi="Times New Roman"/>
                <w:sz w:val="20"/>
                <w:szCs w:val="20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z w:val="20"/>
                <w:szCs w:val="20"/>
                <w:shd w:fill="auto" w:val="clear"/>
              </w:rPr>
            </w:r>
          </w:p>
        </w:tc>
      </w:tr>
      <w:tr>
        <w:trPr>
          <w:trHeight w:val="269" w:hRule="atLeast"/>
        </w:trPr>
        <w:tc>
          <w:tcPr>
            <w:tcW w:w="10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 xml:space="preserve">№ </w:t>
            </w: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п/п</w:t>
            </w:r>
          </w:p>
        </w:tc>
        <w:tc>
          <w:tcPr>
            <w:tcW w:w="134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Обоснование</w:t>
            </w:r>
          </w:p>
        </w:tc>
        <w:tc>
          <w:tcPr>
            <w:tcW w:w="2987" w:type="dxa"/>
            <w:gridSpan w:val="8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Наименование работ и затрат</w:t>
            </w:r>
          </w:p>
        </w:tc>
        <w:tc>
          <w:tcPr>
            <w:tcW w:w="1008" w:type="dxa"/>
            <w:gridSpan w:val="4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Единица измерения</w:t>
            </w:r>
          </w:p>
        </w:tc>
        <w:tc>
          <w:tcPr>
            <w:tcW w:w="3546" w:type="dxa"/>
            <w:gridSpan w:val="1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Количество</w:t>
            </w:r>
          </w:p>
        </w:tc>
        <w:tc>
          <w:tcPr>
            <w:tcW w:w="5038" w:type="dxa"/>
            <w:gridSpan w:val="19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Сметная стоимость, руб.</w:t>
            </w:r>
          </w:p>
        </w:tc>
        <w:tc>
          <w:tcPr>
            <w:tcW w:w="48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000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269" w:hRule="atLeast"/>
        </w:trPr>
        <w:tc>
          <w:tcPr>
            <w:tcW w:w="1020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color w:val="000000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</w:r>
          </w:p>
        </w:tc>
        <w:tc>
          <w:tcPr>
            <w:tcW w:w="1349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color w:val="000000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</w:r>
          </w:p>
        </w:tc>
        <w:tc>
          <w:tcPr>
            <w:tcW w:w="2987" w:type="dxa"/>
            <w:gridSpan w:val="8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color w:val="000000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</w:r>
          </w:p>
        </w:tc>
        <w:tc>
          <w:tcPr>
            <w:tcW w:w="1008" w:type="dxa"/>
            <w:gridSpan w:val="4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color w:val="000000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</w:r>
          </w:p>
        </w:tc>
        <w:tc>
          <w:tcPr>
            <w:tcW w:w="3546" w:type="dxa"/>
            <w:gridSpan w:val="12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color w:val="000000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</w:r>
          </w:p>
        </w:tc>
        <w:tc>
          <w:tcPr>
            <w:tcW w:w="5038" w:type="dxa"/>
            <w:gridSpan w:val="19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color w:val="000000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</w:r>
          </w:p>
        </w:tc>
        <w:tc>
          <w:tcPr>
            <w:tcW w:w="48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000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873" w:hRule="atLeast"/>
        </w:trPr>
        <w:tc>
          <w:tcPr>
            <w:tcW w:w="1020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color w:val="000000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</w:r>
          </w:p>
        </w:tc>
        <w:tc>
          <w:tcPr>
            <w:tcW w:w="1349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color w:val="000000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</w:r>
          </w:p>
        </w:tc>
        <w:tc>
          <w:tcPr>
            <w:tcW w:w="2987" w:type="dxa"/>
            <w:gridSpan w:val="8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color w:val="000000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</w:r>
          </w:p>
        </w:tc>
        <w:tc>
          <w:tcPr>
            <w:tcW w:w="1008" w:type="dxa"/>
            <w:gridSpan w:val="4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" w:hAnsi="Arial" w:cs="Arial"/>
                <w:color w:val="000000"/>
                <w:sz w:val="16"/>
                <w:szCs w:val="16"/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</w:r>
          </w:p>
        </w:tc>
        <w:tc>
          <w:tcPr>
            <w:tcW w:w="820" w:type="dxa"/>
            <w:gridSpan w:val="4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на ед</w:t>
            </w: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  <w:lang w:val="en-US"/>
              </w:rPr>
              <w:t>.</w:t>
            </w: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 xml:space="preserve"> изм</w:t>
            </w:r>
          </w:p>
        </w:tc>
        <w:tc>
          <w:tcPr>
            <w:tcW w:w="1332" w:type="dxa"/>
            <w:gridSpan w:val="6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коэффициенты</w:t>
            </w:r>
          </w:p>
        </w:tc>
        <w:tc>
          <w:tcPr>
            <w:tcW w:w="1394" w:type="dxa"/>
            <w:gridSpan w:val="2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всего с учетом коэффициентов</w:t>
            </w:r>
          </w:p>
        </w:tc>
        <w:tc>
          <w:tcPr>
            <w:tcW w:w="1045" w:type="dxa"/>
            <w:gridSpan w:val="5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на ед изм в базисном уровне цен</w:t>
            </w:r>
          </w:p>
        </w:tc>
        <w:tc>
          <w:tcPr>
            <w:tcW w:w="715" w:type="dxa"/>
            <w:gridSpan w:val="4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индекс</w:t>
            </w:r>
          </w:p>
        </w:tc>
        <w:tc>
          <w:tcPr>
            <w:tcW w:w="1096" w:type="dxa"/>
            <w:gridSpan w:val="4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на ед изм в текущем уровне цен</w:t>
            </w:r>
          </w:p>
        </w:tc>
        <w:tc>
          <w:tcPr>
            <w:tcW w:w="1339" w:type="dxa"/>
            <w:gridSpan w:val="5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коэффициенты</w:t>
            </w:r>
          </w:p>
        </w:tc>
        <w:tc>
          <w:tcPr>
            <w:tcW w:w="843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всего в текущем уровне цен</w:t>
            </w:r>
          </w:p>
        </w:tc>
        <w:tc>
          <w:tcPr>
            <w:tcW w:w="48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000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270" w:hRule="atLeast"/>
        </w:trPr>
        <w:tc>
          <w:tcPr>
            <w:tcW w:w="10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1</w:t>
            </w:r>
          </w:p>
        </w:tc>
        <w:tc>
          <w:tcPr>
            <w:tcW w:w="1349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2</w:t>
            </w:r>
          </w:p>
        </w:tc>
        <w:tc>
          <w:tcPr>
            <w:tcW w:w="2987" w:type="dxa"/>
            <w:gridSpan w:val="8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3</w:t>
            </w:r>
          </w:p>
        </w:tc>
        <w:tc>
          <w:tcPr>
            <w:tcW w:w="1008" w:type="dxa"/>
            <w:gridSpan w:val="4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4</w:t>
            </w:r>
          </w:p>
        </w:tc>
        <w:tc>
          <w:tcPr>
            <w:tcW w:w="820" w:type="dxa"/>
            <w:gridSpan w:val="4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5</w:t>
            </w:r>
          </w:p>
        </w:tc>
        <w:tc>
          <w:tcPr>
            <w:tcW w:w="1332" w:type="dxa"/>
            <w:gridSpan w:val="6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6</w:t>
            </w:r>
          </w:p>
        </w:tc>
        <w:tc>
          <w:tcPr>
            <w:tcW w:w="1394" w:type="dxa"/>
            <w:gridSpan w:val="2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7</w:t>
            </w:r>
          </w:p>
        </w:tc>
        <w:tc>
          <w:tcPr>
            <w:tcW w:w="1045" w:type="dxa"/>
            <w:gridSpan w:val="5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8</w:t>
            </w:r>
          </w:p>
        </w:tc>
        <w:tc>
          <w:tcPr>
            <w:tcW w:w="715" w:type="dxa"/>
            <w:gridSpan w:val="4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9</w:t>
            </w:r>
          </w:p>
        </w:tc>
        <w:tc>
          <w:tcPr>
            <w:tcW w:w="1096" w:type="dxa"/>
            <w:gridSpan w:val="4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10</w:t>
            </w:r>
          </w:p>
        </w:tc>
        <w:tc>
          <w:tcPr>
            <w:tcW w:w="1339" w:type="dxa"/>
            <w:gridSpan w:val="5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11</w:t>
            </w:r>
          </w:p>
        </w:tc>
        <w:tc>
          <w:tcPr>
            <w:tcW w:w="843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highlight w:val="none"/>
                <w:shd w:fill="auto" w:val="clear"/>
              </w:rPr>
            </w:pPr>
            <w:r>
              <w:rPr>
                <w:rFonts w:cs="Arial" w:ascii="Arial" w:hAnsi="Arial"/>
                <w:color w:val="000000"/>
                <w:sz w:val="16"/>
                <w:szCs w:val="16"/>
                <w:shd w:fill="auto" w:val="clear"/>
              </w:rPr>
              <w:t>12</w:t>
            </w:r>
          </w:p>
        </w:tc>
        <w:tc>
          <w:tcPr>
            <w:tcW w:w="48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000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</w:tbl>
    <w:p>
      <w:pPr>
        <w:sectPr>
          <w:footerReference w:type="default" r:id="rId13"/>
          <w:footerReference w:type="first" r:id="rId14"/>
          <w:type w:val="nextPage"/>
          <w:pgSz w:orient="landscape" w:w="16838" w:h="11906"/>
          <w:pgMar w:left="720" w:right="284" w:gutter="0" w:header="0" w:top="426" w:footer="709" w:bottom="924"/>
          <w:pgNumType w:fmt="decimal"/>
          <w:formProt w:val="false"/>
          <w:textDirection w:val="lrTb"/>
          <w:docGrid w:type="default" w:linePitch="360" w:charSpace="0"/>
        </w:sectPr>
      </w:pPr>
    </w:p>
    <w:p>
      <w:pPr>
        <w:pStyle w:val="Normal"/>
        <w:spacing w:lineRule="auto" w:line="240" w:before="0" w:after="0"/>
        <w:ind w:left="5811" w:firstLine="720"/>
        <w:jc w:val="right"/>
        <w:rPr>
          <w:rFonts w:ascii="Times New Roman" w:hAnsi="Times New Roman"/>
          <w:color w:val="000000"/>
          <w:sz w:val="20"/>
          <w:szCs w:val="20"/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0"/>
          <w:szCs w:val="20"/>
          <w:shd w:fill="auto" w:val="clear"/>
        </w:rPr>
      </w:r>
    </w:p>
    <w:p>
      <w:pPr>
        <w:pStyle w:val="Normal"/>
        <w:spacing w:lineRule="auto" w:line="240" w:before="0" w:after="0"/>
        <w:ind w:left="5811" w:right="0" w:firstLine="72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 xml:space="preserve">Приложение№ 2 </w:t>
      </w:r>
    </w:p>
    <w:p>
      <w:pPr>
        <w:pStyle w:val="ConsPlusNormal1"/>
        <w:ind w:left="5811" w:right="0" w:firstLine="72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hd w:fill="auto" w:val="clear"/>
        </w:rPr>
        <w:t>к Требованиям к оформлению и составлению</w:t>
      </w:r>
    </w:p>
    <w:p>
      <w:pPr>
        <w:pStyle w:val="ConsPlusNormal1"/>
        <w:ind w:left="5811" w:right="0" w:firstLine="72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hd w:fill="auto" w:val="clear"/>
        </w:rPr>
        <w:t xml:space="preserve">сметной документации на работ </w:t>
      </w:r>
    </w:p>
    <w:p>
      <w:pPr>
        <w:pStyle w:val="ConsPlusNormal1"/>
        <w:ind w:left="5811" w:right="0" w:firstLine="72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hd w:fill="auto" w:val="clear"/>
        </w:rPr>
        <w:t xml:space="preserve"> </w:t>
      </w:r>
      <w:r>
        <w:rPr>
          <w:rFonts w:ascii="Times New Roman" w:hAnsi="Times New Roman"/>
          <w:color w:val="000000"/>
          <w:shd w:fill="auto" w:val="clear"/>
        </w:rPr>
        <w:t xml:space="preserve">по строительство и реконструкцию объектов </w:t>
      </w:r>
    </w:p>
    <w:p>
      <w:pPr>
        <w:pStyle w:val="ConsPlusNormal1"/>
        <w:ind w:left="5811" w:right="0" w:firstLine="72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hd w:fill="auto" w:val="clear"/>
        </w:rPr>
        <w:t xml:space="preserve">капитального строительства </w:t>
      </w:r>
      <w:r>
        <w:rPr>
          <w:b/>
          <w:bCs/>
          <w:color w:val="000000"/>
          <w:shd w:fill="auto" w:val="clear"/>
        </w:rPr>
        <w:t xml:space="preserve">     </w:t>
      </w:r>
    </w:p>
    <w:p>
      <w:pPr>
        <w:pStyle w:val="HEADERTEXT"/>
        <w:rPr>
          <w:b/>
          <w:bCs/>
          <w:color w:val="auto"/>
          <w:highlight w:val="none"/>
          <w:shd w:fill="auto" w:val="clear"/>
        </w:rPr>
      </w:pPr>
      <w:r>
        <w:rPr>
          <w:b/>
          <w:bCs/>
          <w:color w:val="000000"/>
          <w:shd w:fill="auto" w:val="clear"/>
        </w:rPr>
      </w:r>
    </w:p>
    <w:p>
      <w:pPr>
        <w:pStyle w:val="HEADERTEXT"/>
        <w:jc w:val="center"/>
        <w:rPr>
          <w:highlight w:val="none"/>
          <w:shd w:fill="auto" w:val="clear"/>
        </w:rPr>
      </w:pPr>
      <w:r>
        <w:rPr>
          <w:rFonts w:eastAsia="Times New Roman" w:ascii="Times New Roman" w:hAnsi="Times New Roman"/>
          <w:color w:val="000000"/>
          <w:shd w:fill="auto" w:val="clear"/>
        </w:rPr>
        <w:t xml:space="preserve"> </w:t>
      </w:r>
      <w:r>
        <w:rPr>
          <w:rFonts w:eastAsia="Times New Roman" w:ascii="Times New Roman" w:hAnsi="Times New Roman"/>
          <w:color w:val="000000"/>
          <w:shd w:fill="auto" w:val="clear"/>
        </w:rPr>
        <w:t xml:space="preserve">Конъюнктурный анализ </w:t>
      </w:r>
    </w:p>
    <w:tbl>
      <w:tblPr>
        <w:tblW w:w="9298" w:type="dxa"/>
        <w:jc w:val="left"/>
        <w:tblInd w:w="45" w:type="dxa"/>
        <w:tblLayout w:type="fixed"/>
        <w:tblCellMar>
          <w:top w:w="114" w:type="dxa"/>
          <w:left w:w="28" w:type="dxa"/>
          <w:bottom w:w="114" w:type="dxa"/>
          <w:right w:w="28" w:type="dxa"/>
        </w:tblCellMar>
      </w:tblPr>
      <w:tblGrid>
        <w:gridCol w:w="9298"/>
      </w:tblGrid>
      <w:tr>
        <w:trPr/>
        <w:tc>
          <w:tcPr>
            <w:tcW w:w="9298" w:type="dxa"/>
            <w:tcBorders>
              <w:bottom w:val="single" w:sz="6" w:space="0" w:color="000000"/>
            </w:tcBorders>
          </w:tcPr>
          <w:p>
            <w:pPr>
              <w:pStyle w:val="FORMATTEXT"/>
              <w:widowControl w:val="false"/>
              <w:rPr>
                <w:color w:val="auto"/>
                <w:sz w:val="12"/>
                <w:szCs w:val="12"/>
                <w:highlight w:val="none"/>
                <w:shd w:fill="auto" w:val="clear"/>
              </w:rPr>
            </w:pPr>
            <w:r>
              <w:rPr>
                <w:color w:val="000000"/>
                <w:sz w:val="12"/>
                <w:szCs w:val="12"/>
                <w:shd w:fill="auto" w:val="clear"/>
              </w:rPr>
            </w:r>
          </w:p>
        </w:tc>
      </w:tr>
      <w:tr>
        <w:trPr/>
        <w:tc>
          <w:tcPr>
            <w:tcW w:w="9298" w:type="dxa"/>
            <w:tcBorders>
              <w:top w:val="single" w:sz="6" w:space="0" w:color="000000"/>
            </w:tcBorders>
          </w:tcPr>
          <w:p>
            <w:pPr>
              <w:pStyle w:val="FORMAT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i/>
                <w:iCs/>
                <w:color w:val="000000"/>
                <w:sz w:val="18"/>
                <w:szCs w:val="18"/>
                <w:shd w:fill="auto" w:val="clear"/>
              </w:rPr>
              <w:t>(наименование объекта строительства)</w:t>
            </w:r>
          </w:p>
        </w:tc>
      </w:tr>
    </w:tbl>
    <w:p>
      <w:pPr>
        <w:pStyle w:val="Normal"/>
        <w:widowControl w:val="false"/>
        <w:spacing w:lineRule="auto" w:line="240" w:before="0" w:after="0"/>
        <w:rPr>
          <w:rFonts w:ascii="Arial, sans-serif" w:hAnsi="Arial, sans-serif"/>
          <w:color w:val="auto"/>
          <w:sz w:val="24"/>
          <w:szCs w:val="24"/>
          <w:highlight w:val="none"/>
          <w:shd w:fill="auto" w:val="clear"/>
        </w:rPr>
      </w:pPr>
      <w:r>
        <w:rPr>
          <w:rFonts w:ascii="Arial, sans-serif" w:hAnsi="Arial, sans-serif"/>
          <w:color w:val="000000"/>
          <w:sz w:val="24"/>
          <w:szCs w:val="24"/>
          <w:shd w:fill="auto" w:val="clear"/>
        </w:rPr>
      </w:r>
    </w:p>
    <w:tbl>
      <w:tblPr>
        <w:tblW w:w="14564" w:type="dxa"/>
        <w:jc w:val="left"/>
        <w:tblInd w:w="-6" w:type="dxa"/>
        <w:tblLayout w:type="fixed"/>
        <w:tblCellMar>
          <w:top w:w="113" w:type="dxa"/>
          <w:left w:w="28" w:type="dxa"/>
          <w:bottom w:w="113" w:type="dxa"/>
          <w:right w:w="28" w:type="dxa"/>
        </w:tblCellMar>
      </w:tblPr>
      <w:tblGrid>
        <w:gridCol w:w="531"/>
        <w:gridCol w:w="664"/>
        <w:gridCol w:w="781"/>
        <w:gridCol w:w="898"/>
        <w:gridCol w:w="465"/>
        <w:gridCol w:w="763"/>
        <w:gridCol w:w="878"/>
        <w:gridCol w:w="729"/>
        <w:gridCol w:w="742"/>
        <w:gridCol w:w="638"/>
        <w:gridCol w:w="710"/>
        <w:gridCol w:w="780"/>
        <w:gridCol w:w="527"/>
        <w:gridCol w:w="597"/>
        <w:gridCol w:w="911"/>
        <w:gridCol w:w="705"/>
        <w:gridCol w:w="681"/>
        <w:gridCol w:w="1077"/>
        <w:gridCol w:w="782"/>
        <w:gridCol w:w="701"/>
      </w:tblGrid>
      <w:tr>
        <w:trPr>
          <w:trHeight w:val="1105" w:hRule="atLeast"/>
        </w:trPr>
        <w:tc>
          <w:tcPr>
            <w:tcW w:w="531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N п/п</w:t>
            </w:r>
          </w:p>
        </w:tc>
        <w:tc>
          <w:tcPr>
            <w:tcW w:w="664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Код стро-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итель-</w:t>
            </w:r>
          </w:p>
        </w:tc>
        <w:tc>
          <w:tcPr>
            <w:tcW w:w="781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Наиме-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нование строи-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Полное наиме-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нование</w:t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Ед.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изм.</w:t>
            </w:r>
          </w:p>
        </w:tc>
        <w:tc>
          <w:tcPr>
            <w:tcW w:w="763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Ед. изм. стро-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итель-</w:t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Текущая отпуск-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ная цена</w:t>
            </w:r>
          </w:p>
        </w:tc>
        <w:tc>
          <w:tcPr>
            <w:tcW w:w="729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Теку-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щая отпуск-</w:t>
            </w:r>
          </w:p>
        </w:tc>
        <w:tc>
          <w:tcPr>
            <w:tcW w:w="742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Стои-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мость пере-</w:t>
            </w:r>
          </w:p>
        </w:tc>
        <w:tc>
          <w:tcPr>
            <w:tcW w:w="134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Заготовительно-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складские расходы</w:t>
            </w:r>
          </w:p>
        </w:tc>
        <w:tc>
          <w:tcPr>
            <w:tcW w:w="780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Сметная цена без НДС в</w:t>
            </w:r>
          </w:p>
        </w:tc>
        <w:tc>
          <w:tcPr>
            <w:tcW w:w="527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Год</w:t>
            </w:r>
          </w:p>
        </w:tc>
        <w:tc>
          <w:tcPr>
            <w:tcW w:w="597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Квар-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тал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Наименование произво-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дителя/</w:t>
            </w:r>
          </w:p>
        </w:tc>
        <w:tc>
          <w:tcPr>
            <w:tcW w:w="705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КПП орга-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низа-</w:t>
            </w:r>
          </w:p>
        </w:tc>
        <w:tc>
          <w:tcPr>
            <w:tcW w:w="681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ИНН орга-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низа-</w:t>
            </w:r>
          </w:p>
        </w:tc>
        <w:tc>
          <w:tcPr>
            <w:tcW w:w="1077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Гипер-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ссылка на веб-</w:t>
            </w:r>
          </w:p>
        </w:tc>
        <w:tc>
          <w:tcPr>
            <w:tcW w:w="782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Насе-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ленный пункт</w:t>
            </w:r>
          </w:p>
        </w:tc>
        <w:tc>
          <w:tcPr>
            <w:tcW w:w="701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Статус органи-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зации</w:t>
            </w:r>
          </w:p>
        </w:tc>
      </w:tr>
      <w:tr>
        <w:trPr>
          <w:trHeight w:val="436" w:hRule="atLeast"/>
        </w:trPr>
        <w:tc>
          <w:tcPr>
            <w:tcW w:w="531" w:type="dxa"/>
            <w:tcBorders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664" w:type="dxa"/>
            <w:tcBorders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ного ресур-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са</w:t>
            </w:r>
          </w:p>
        </w:tc>
        <w:tc>
          <w:tcPr>
            <w:tcW w:w="781" w:type="dxa"/>
            <w:tcBorders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тельного ресурса, затрат</w:t>
            </w:r>
          </w:p>
        </w:tc>
        <w:tc>
          <w:tcPr>
            <w:tcW w:w="898" w:type="dxa"/>
            <w:tcBorders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строи-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тельного ресурса, затрат в обосно-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вываю-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щем документе</w:t>
            </w:r>
          </w:p>
        </w:tc>
        <w:tc>
          <w:tcPr>
            <w:tcW w:w="465" w:type="dxa"/>
            <w:tcBorders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763" w:type="dxa"/>
            <w:tcBorders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ного ресурса, затрат в обосно-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вываю-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щем доку-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менте</w:t>
            </w:r>
          </w:p>
        </w:tc>
        <w:tc>
          <w:tcPr>
            <w:tcW w:w="878" w:type="dxa"/>
            <w:tcBorders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за ед.изм. в обосно-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вываю-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щем докумен-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те с НДС в руб.</w:t>
            </w:r>
          </w:p>
        </w:tc>
        <w:tc>
          <w:tcPr>
            <w:tcW w:w="729" w:type="dxa"/>
            <w:tcBorders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ная цена за ед.изм. без НДС в руб. в соот-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ветст-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вии с графой 5</w:t>
            </w:r>
          </w:p>
        </w:tc>
        <w:tc>
          <w:tcPr>
            <w:tcW w:w="742" w:type="dxa"/>
            <w:tcBorders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возки без НДС в руб. за ед.изм.</w:t>
            </w:r>
          </w:p>
        </w:tc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%</w:t>
            </w: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руб.</w:t>
            </w:r>
          </w:p>
        </w:tc>
        <w:tc>
          <w:tcPr>
            <w:tcW w:w="780" w:type="dxa"/>
            <w:tcBorders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руб. за ед.изм.</w:t>
            </w:r>
          </w:p>
        </w:tc>
        <w:tc>
          <w:tcPr>
            <w:tcW w:w="527" w:type="dxa"/>
            <w:tcBorders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597" w:type="dxa"/>
            <w:tcBorders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911" w:type="dxa"/>
            <w:tcBorders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поставщика</w:t>
            </w:r>
          </w:p>
        </w:tc>
        <w:tc>
          <w:tcPr>
            <w:tcW w:w="705" w:type="dxa"/>
            <w:tcBorders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ции</w:t>
            </w:r>
          </w:p>
        </w:tc>
        <w:tc>
          <w:tcPr>
            <w:tcW w:w="681" w:type="dxa"/>
            <w:tcBorders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ции</w:t>
            </w:r>
          </w:p>
        </w:tc>
        <w:tc>
          <w:tcPr>
            <w:tcW w:w="1077" w:type="dxa"/>
            <w:tcBorders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сайт произ-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води-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теля/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постав-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щика</w:t>
            </w:r>
          </w:p>
        </w:tc>
        <w:tc>
          <w:tcPr>
            <w:tcW w:w="782" w:type="dxa"/>
            <w:tcBorders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распо-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ложения склада произ-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води-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теля/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постав-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щика</w:t>
            </w:r>
          </w:p>
        </w:tc>
        <w:tc>
          <w:tcPr>
            <w:tcW w:w="701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(произ-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води-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тель (1)/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постав-</w:t>
            </w:r>
          </w:p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щик (2)</w:t>
            </w:r>
          </w:p>
        </w:tc>
      </w:tr>
      <w:tr>
        <w:trPr/>
        <w:tc>
          <w:tcPr>
            <w:tcW w:w="5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1</w:t>
            </w:r>
          </w:p>
        </w:tc>
        <w:tc>
          <w:tcPr>
            <w:tcW w:w="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2</w:t>
            </w:r>
          </w:p>
        </w:tc>
        <w:tc>
          <w:tcPr>
            <w:tcW w:w="7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3</w:t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4</w:t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5</w:t>
            </w:r>
          </w:p>
        </w:tc>
        <w:tc>
          <w:tcPr>
            <w:tcW w:w="7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6</w:t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7</w:t>
            </w:r>
          </w:p>
        </w:tc>
        <w:tc>
          <w:tcPr>
            <w:tcW w:w="7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8</w:t>
            </w:r>
          </w:p>
        </w:tc>
        <w:tc>
          <w:tcPr>
            <w:tcW w:w="7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9</w:t>
            </w:r>
          </w:p>
        </w:tc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10</w:t>
            </w: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11</w:t>
            </w:r>
          </w:p>
        </w:tc>
        <w:tc>
          <w:tcPr>
            <w:tcW w:w="7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12</w:t>
            </w:r>
          </w:p>
        </w:tc>
        <w:tc>
          <w:tcPr>
            <w:tcW w:w="5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13</w:t>
            </w:r>
          </w:p>
        </w:tc>
        <w:tc>
          <w:tcPr>
            <w:tcW w:w="5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14</w:t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15</w:t>
            </w:r>
          </w:p>
        </w:tc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16</w:t>
            </w:r>
          </w:p>
        </w:tc>
        <w:tc>
          <w:tcPr>
            <w:tcW w:w="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17</w:t>
            </w:r>
          </w:p>
        </w:tc>
        <w:tc>
          <w:tcPr>
            <w:tcW w:w="10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18</w:t>
            </w:r>
          </w:p>
        </w:tc>
        <w:tc>
          <w:tcPr>
            <w:tcW w:w="7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19</w:t>
            </w:r>
          </w:p>
        </w:tc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20</w:t>
            </w:r>
          </w:p>
        </w:tc>
      </w:tr>
      <w:tr>
        <w:trPr/>
        <w:tc>
          <w:tcPr>
            <w:tcW w:w="5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7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7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7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7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7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5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5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Поставщик 1</w:t>
            </w:r>
          </w:p>
        </w:tc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10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7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</w:tr>
      <w:tr>
        <w:trPr/>
        <w:tc>
          <w:tcPr>
            <w:tcW w:w="5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7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7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7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7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6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7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5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5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9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Поставщик 2</w:t>
            </w:r>
          </w:p>
        </w:tc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6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10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7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HEADERTEXT"/>
              <w:widowControl w:val="false"/>
              <w:jc w:val="center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</w:tr>
    </w:tbl>
    <w:p>
      <w:pPr>
        <w:sectPr>
          <w:footerReference w:type="default" r:id="rId15"/>
          <w:footerReference w:type="first" r:id="rId16"/>
          <w:type w:val="nextPage"/>
          <w:pgSz w:orient="landscape" w:w="16838" w:h="11906"/>
          <w:pgMar w:left="1276" w:right="709" w:gutter="0" w:header="0" w:top="851" w:footer="709" w:bottom="766"/>
          <w:pgNumType w:fmt="decimal"/>
          <w:formProt w:val="false"/>
          <w:textDirection w:val="lrTb"/>
          <w:docGrid w:type="default" w:linePitch="360" w:charSpace="0"/>
        </w:sectPr>
      </w:pPr>
    </w:p>
    <w:p>
      <w:pPr>
        <w:pStyle w:val="Normal"/>
        <w:spacing w:lineRule="auto" w:line="240" w:before="0" w:after="0"/>
        <w:ind w:left="284" w:right="0" w:firstLine="720"/>
        <w:rPr>
          <w:rFonts w:ascii="Times New Roman" w:hAnsi="Times New Roman"/>
          <w:sz w:val="20"/>
          <w:szCs w:val="20"/>
          <w:highlight w:val="none"/>
          <w:shd w:fill="auto" w:val="clear"/>
        </w:rPr>
      </w:pPr>
      <w:r>
        <w:rPr>
          <w:rFonts w:ascii="Times New Roman" w:hAnsi="Times New Roman"/>
          <w:sz w:val="20"/>
          <w:szCs w:val="20"/>
          <w:shd w:fill="auto" w:val="clear"/>
        </w:rPr>
      </w:r>
    </w:p>
    <w:p>
      <w:pPr>
        <w:pStyle w:val="Normal"/>
        <w:spacing w:lineRule="auto" w:line="240" w:before="0" w:after="0"/>
        <w:ind w:left="284" w:firstLine="720"/>
        <w:rPr>
          <w:rFonts w:ascii="Times New Roman" w:hAnsi="Times New Roman"/>
          <w:sz w:val="20"/>
          <w:szCs w:val="20"/>
          <w:highlight w:val="none"/>
          <w:shd w:fill="auto" w:val="clear"/>
        </w:rPr>
      </w:pPr>
      <w:r>
        <w:rPr>
          <w:rFonts w:ascii="Times New Roman" w:hAnsi="Times New Roman"/>
          <w:sz w:val="20"/>
          <w:szCs w:val="20"/>
          <w:shd w:fill="auto" w:val="clear"/>
        </w:rPr>
      </w:r>
    </w:p>
    <w:p>
      <w:pPr>
        <w:pStyle w:val="Normal"/>
        <w:widowControl w:val="false"/>
        <w:spacing w:lineRule="auto" w:line="240" w:before="0" w:after="0"/>
        <w:rPr>
          <w:rFonts w:ascii="Arial, sans-serif" w:hAnsi="Arial, sans-serif"/>
          <w:color w:val="auto"/>
          <w:sz w:val="24"/>
          <w:szCs w:val="24"/>
          <w:highlight w:val="none"/>
          <w:shd w:fill="auto" w:val="clear"/>
        </w:rPr>
      </w:pPr>
      <w:r>
        <w:rPr>
          <w:rFonts w:ascii="Arial, sans-serif" w:hAnsi="Arial, sans-serif"/>
          <w:color w:val="000000"/>
          <w:sz w:val="24"/>
          <w:szCs w:val="24"/>
          <w:shd w:fill="auto" w:val="clear"/>
        </w:rPr>
      </w:r>
    </w:p>
    <w:tbl>
      <w:tblPr>
        <w:tblW w:w="9450" w:type="dxa"/>
        <w:jc w:val="left"/>
        <w:tblInd w:w="28" w:type="dxa"/>
        <w:tblLayout w:type="fixed"/>
        <w:tblCellMar>
          <w:top w:w="114" w:type="dxa"/>
          <w:left w:w="28" w:type="dxa"/>
          <w:bottom w:w="114" w:type="dxa"/>
          <w:right w:w="28" w:type="dxa"/>
        </w:tblCellMar>
      </w:tblPr>
      <w:tblGrid>
        <w:gridCol w:w="1529"/>
        <w:gridCol w:w="7920"/>
      </w:tblGrid>
      <w:tr>
        <w:trPr/>
        <w:tc>
          <w:tcPr>
            <w:tcW w:w="1529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, sans-serif" w:hAnsi="Arial, sans-serif"/>
                <w:color w:val="auto"/>
                <w:sz w:val="24"/>
                <w:szCs w:val="24"/>
                <w:highlight w:val="none"/>
                <w:shd w:fill="auto" w:val="clear"/>
              </w:rPr>
            </w:pPr>
            <w:r>
              <w:rPr>
                <w:rFonts w:ascii="Arial, sans-serif" w:hAnsi="Arial, sans-serif"/>
                <w:color w:val="000000"/>
                <w:sz w:val="24"/>
                <w:szCs w:val="24"/>
                <w:shd w:fill="auto" w:val="clear"/>
              </w:rPr>
            </w:r>
          </w:p>
        </w:tc>
        <w:tc>
          <w:tcPr>
            <w:tcW w:w="7920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Arial, sans-serif" w:hAnsi="Arial, sans-serif"/>
                <w:color w:val="auto"/>
                <w:sz w:val="24"/>
                <w:szCs w:val="24"/>
                <w:highlight w:val="none"/>
                <w:shd w:fill="auto" w:val="clear"/>
              </w:rPr>
            </w:pPr>
            <w:r>
              <w:rPr>
                <w:rFonts w:ascii="Arial, sans-serif" w:hAnsi="Arial, sans-serif"/>
                <w:color w:val="000000"/>
                <w:sz w:val="24"/>
                <w:szCs w:val="24"/>
                <w:shd w:fill="auto" w:val="clear"/>
              </w:rPr>
            </w:r>
          </w:p>
        </w:tc>
      </w:tr>
      <w:tr>
        <w:trPr/>
        <w:tc>
          <w:tcPr>
            <w:tcW w:w="1529" w:type="dxa"/>
            <w:tcBorders/>
          </w:tcPr>
          <w:p>
            <w:pPr>
              <w:pStyle w:val="HEADERTEXT"/>
              <w:widowControl w:val="false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Составил</w:t>
            </w:r>
          </w:p>
        </w:tc>
        <w:tc>
          <w:tcPr>
            <w:tcW w:w="7920" w:type="dxa"/>
            <w:tcBorders>
              <w:bottom w:val="single" w:sz="6" w:space="0" w:color="000000"/>
            </w:tcBorders>
          </w:tcPr>
          <w:p>
            <w:pPr>
              <w:pStyle w:val="HEADERTEXT"/>
              <w:widowControl w:val="false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</w:tr>
      <w:tr>
        <w:trPr/>
        <w:tc>
          <w:tcPr>
            <w:tcW w:w="1529" w:type="dxa"/>
            <w:tcBorders/>
          </w:tcPr>
          <w:p>
            <w:pPr>
              <w:pStyle w:val="HEADERTEXT"/>
              <w:widowControl w:val="false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7920" w:type="dxa"/>
            <w:tcBorders>
              <w:top w:val="single" w:sz="6" w:space="0" w:color="000000"/>
            </w:tcBorders>
          </w:tcPr>
          <w:p>
            <w:pPr>
              <w:pStyle w:val="HEADERTEXT"/>
              <w:widowControl w:val="false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[должность, подпись (инициалы, фамилия)]</w:t>
            </w:r>
          </w:p>
        </w:tc>
      </w:tr>
      <w:tr>
        <w:trPr/>
        <w:tc>
          <w:tcPr>
            <w:tcW w:w="1529" w:type="dxa"/>
            <w:tcBorders/>
          </w:tcPr>
          <w:p>
            <w:pPr>
              <w:pStyle w:val="HEADERTEXT"/>
              <w:widowControl w:val="false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Проверил</w:t>
            </w:r>
          </w:p>
        </w:tc>
        <w:tc>
          <w:tcPr>
            <w:tcW w:w="7920" w:type="dxa"/>
            <w:tcBorders>
              <w:bottom w:val="single" w:sz="6" w:space="0" w:color="000000"/>
            </w:tcBorders>
          </w:tcPr>
          <w:p>
            <w:pPr>
              <w:pStyle w:val="HEADERTEXT"/>
              <w:widowControl w:val="false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</w:tr>
      <w:tr>
        <w:trPr/>
        <w:tc>
          <w:tcPr>
            <w:tcW w:w="1529" w:type="dxa"/>
            <w:tcBorders/>
          </w:tcPr>
          <w:p>
            <w:pPr>
              <w:pStyle w:val="HEADERTEXT"/>
              <w:widowControl w:val="false"/>
              <w:rPr>
                <w:rFonts w:ascii="Times New Roman" w:hAnsi="Times New Roman" w:eastAsia="Times New Roman"/>
                <w:color w:val="auto"/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</w:r>
          </w:p>
        </w:tc>
        <w:tc>
          <w:tcPr>
            <w:tcW w:w="7920" w:type="dxa"/>
            <w:tcBorders>
              <w:top w:val="single" w:sz="6" w:space="0" w:color="000000"/>
            </w:tcBorders>
          </w:tcPr>
          <w:p>
            <w:pPr>
              <w:pStyle w:val="HEADERTEXT"/>
              <w:widowControl w:val="false"/>
              <w:rPr>
                <w:highlight w:val="none"/>
                <w:shd w:fill="auto" w:val="clear"/>
              </w:rPr>
            </w:pPr>
            <w:r>
              <w:rPr>
                <w:rFonts w:eastAsia="Times New Roman" w:ascii="Times New Roman" w:hAnsi="Times New Roman"/>
                <w:color w:val="000000"/>
                <w:shd w:fill="auto" w:val="clear"/>
              </w:rPr>
              <w:t>[должность, подпись (инициалы, фамилия)]</w:t>
            </w:r>
          </w:p>
        </w:tc>
      </w:tr>
    </w:tbl>
    <w:p>
      <w:pPr>
        <w:pStyle w:val="HEADERTEXT"/>
        <w:rPr>
          <w:rFonts w:ascii="Times New Roman" w:hAnsi="Times New Roman" w:eastAsia="Times New Roman"/>
          <w:color w:val="auto"/>
          <w:highlight w:val="none"/>
          <w:shd w:fill="auto" w:val="clear"/>
        </w:rPr>
      </w:pPr>
      <w:r>
        <w:rPr>
          <w:rFonts w:eastAsia="Times New Roman" w:ascii="Times New Roman" w:hAnsi="Times New Roman"/>
          <w:color w:val="000000"/>
          <w:shd w:fill="auto" w:val="clear"/>
        </w:rPr>
      </w:r>
    </w:p>
    <w:p>
      <w:pPr>
        <w:pStyle w:val="HEADERTEXT"/>
        <w:rPr>
          <w:highlight w:val="none"/>
          <w:shd w:fill="auto" w:val="clear"/>
        </w:rPr>
      </w:pPr>
      <w:r>
        <w:rPr>
          <w:rFonts w:eastAsia="Times New Roman" w:ascii="Times New Roman" w:hAnsi="Times New Roman"/>
          <w:color w:val="000000"/>
          <w:shd w:fill="auto" w:val="clear"/>
        </w:rPr>
        <w:t>Примечание.</w:t>
      </w:r>
    </w:p>
    <w:p>
      <w:pPr>
        <w:pStyle w:val="HEADERTEXT"/>
        <w:rPr>
          <w:rFonts w:ascii="Times New Roman" w:hAnsi="Times New Roman" w:eastAsia="Times New Roman"/>
          <w:color w:val="auto"/>
          <w:highlight w:val="none"/>
          <w:shd w:fill="auto" w:val="clear"/>
        </w:rPr>
      </w:pPr>
      <w:r>
        <w:rPr>
          <w:rFonts w:eastAsia="Times New Roman" w:ascii="Times New Roman" w:hAnsi="Times New Roman"/>
          <w:color w:val="000000"/>
          <w:shd w:fill="auto" w:val="clear"/>
        </w:rPr>
      </w:r>
    </w:p>
    <w:p>
      <w:pPr>
        <w:pStyle w:val="HEADERTEXT"/>
        <w:rPr>
          <w:highlight w:val="none"/>
          <w:shd w:fill="auto" w:val="clear"/>
        </w:rPr>
      </w:pPr>
      <w:r>
        <w:rPr>
          <w:rFonts w:eastAsia="Times New Roman" w:ascii="Times New Roman" w:hAnsi="Times New Roman"/>
          <w:color w:val="000000"/>
          <w:shd w:fill="auto" w:val="clear"/>
        </w:rPr>
        <w:t>1. В графе 1 указывается номер, состоящих из двух групп цифр, разделенных точкой, первая группа цифр которого соответствует номеру ресурса по порядку, вторая - порядковому номеру обосновывающего документа, например, 1.1.</w:t>
      </w:r>
    </w:p>
    <w:p>
      <w:pPr>
        <w:pStyle w:val="HEADERTEXT"/>
        <w:rPr>
          <w:rFonts w:ascii="Times New Roman" w:hAnsi="Times New Roman" w:eastAsia="Times New Roman"/>
          <w:color w:val="auto"/>
          <w:highlight w:val="none"/>
          <w:shd w:fill="auto" w:val="clear"/>
        </w:rPr>
      </w:pPr>
      <w:r>
        <w:rPr>
          <w:rFonts w:eastAsia="Times New Roman" w:ascii="Times New Roman" w:hAnsi="Times New Roman"/>
          <w:color w:val="000000"/>
          <w:shd w:fill="auto" w:val="clear"/>
        </w:rPr>
      </w:r>
    </w:p>
    <w:p>
      <w:pPr>
        <w:pStyle w:val="HEADERTEXT"/>
        <w:rPr>
          <w:highlight w:val="none"/>
          <w:shd w:fill="auto" w:val="clear"/>
        </w:rPr>
      </w:pPr>
      <w:r>
        <w:rPr>
          <w:rFonts w:eastAsia="Times New Roman" w:ascii="Times New Roman" w:hAnsi="Times New Roman"/>
          <w:color w:val="000000"/>
          <w:shd w:fill="auto" w:val="clear"/>
        </w:rPr>
        <w:t>2. В графе 2 для каждой позиции материальных ресурсов и оборудования указывается код строительного ресурса в соответствии с пунктами 23 и 24 Методики.</w:t>
      </w:r>
    </w:p>
    <w:p>
      <w:pPr>
        <w:pStyle w:val="HEADERTEXT"/>
        <w:rPr>
          <w:rFonts w:ascii="Times New Roman" w:hAnsi="Times New Roman" w:eastAsia="Times New Roman"/>
          <w:color w:val="auto"/>
          <w:highlight w:val="none"/>
          <w:shd w:fill="auto" w:val="clear"/>
        </w:rPr>
      </w:pPr>
      <w:r>
        <w:rPr>
          <w:rFonts w:eastAsia="Times New Roman" w:ascii="Times New Roman" w:hAnsi="Times New Roman"/>
          <w:color w:val="000000"/>
          <w:shd w:fill="auto" w:val="clear"/>
        </w:rPr>
      </w:r>
    </w:p>
    <w:p>
      <w:pPr>
        <w:pStyle w:val="HEADERTEXT"/>
        <w:rPr>
          <w:highlight w:val="none"/>
          <w:shd w:fill="auto" w:val="clear"/>
        </w:rPr>
      </w:pPr>
      <w:r>
        <w:rPr>
          <w:rFonts w:eastAsia="Times New Roman" w:ascii="Times New Roman" w:hAnsi="Times New Roman"/>
          <w:color w:val="000000"/>
          <w:shd w:fill="auto" w:val="clear"/>
        </w:rPr>
        <w:t>3. Анализируются сопоставимые элементы стоимости материальных ресурсов (отпускные цены, сметные с учетом транспортных затрат), затрат.</w:t>
      </w:r>
    </w:p>
    <w:p>
      <w:pPr>
        <w:pStyle w:val="HEADERTEXT"/>
        <w:rPr>
          <w:rFonts w:ascii="Times New Roman" w:hAnsi="Times New Roman" w:eastAsia="Times New Roman"/>
          <w:color w:val="auto"/>
          <w:highlight w:val="none"/>
          <w:shd w:fill="auto" w:val="clear"/>
        </w:rPr>
      </w:pPr>
      <w:r>
        <w:rPr>
          <w:rFonts w:eastAsia="Times New Roman" w:ascii="Times New Roman" w:hAnsi="Times New Roman"/>
          <w:color w:val="000000"/>
          <w:shd w:fill="auto" w:val="clear"/>
        </w:rPr>
      </w:r>
    </w:p>
    <w:p>
      <w:pPr>
        <w:pStyle w:val="HEADERTEXT"/>
        <w:rPr>
          <w:highlight w:val="none"/>
          <w:shd w:fill="auto" w:val="clear"/>
        </w:rPr>
      </w:pPr>
      <w:r>
        <w:rPr>
          <w:rFonts w:eastAsia="Times New Roman" w:ascii="Times New Roman" w:hAnsi="Times New Roman"/>
          <w:color w:val="000000"/>
          <w:shd w:fill="auto" w:val="clear"/>
        </w:rPr>
        <w:t>4. В случае, если текущая отпускная цена за ед.изм. в обосновывающем документе указана с учетом доставки до приобъектного склада, то графа 9 не заполняется.</w:t>
      </w:r>
    </w:p>
    <w:p>
      <w:pPr>
        <w:pStyle w:val="HEADERTEXT"/>
        <w:rPr>
          <w:rFonts w:ascii="Times New Roman" w:hAnsi="Times New Roman" w:eastAsia="Times New Roman"/>
          <w:color w:val="auto"/>
          <w:highlight w:val="none"/>
          <w:shd w:fill="auto" w:val="clear"/>
        </w:rPr>
      </w:pPr>
      <w:r>
        <w:rPr>
          <w:rFonts w:eastAsia="Times New Roman" w:ascii="Times New Roman" w:hAnsi="Times New Roman"/>
          <w:color w:val="000000"/>
          <w:shd w:fill="auto" w:val="clear"/>
        </w:rPr>
      </w:r>
    </w:p>
    <w:p>
      <w:pPr>
        <w:pStyle w:val="HEADERTEXT"/>
        <w:rPr>
          <w:highlight w:val="none"/>
          <w:shd w:fill="auto" w:val="clear"/>
        </w:rPr>
      </w:pPr>
      <w:r>
        <w:rPr>
          <w:rFonts w:eastAsia="Times New Roman" w:ascii="Times New Roman" w:hAnsi="Times New Roman"/>
          <w:color w:val="000000"/>
          <w:shd w:fill="auto" w:val="clear"/>
        </w:rPr>
        <w:t>5. Данные граф 2, 4, 9-11,20 для прочих затрат заполняются при их наличии.</w:t>
      </w:r>
    </w:p>
    <w:p>
      <w:pPr>
        <w:pStyle w:val="HEADERTEXT"/>
        <w:rPr>
          <w:rFonts w:ascii="Times New Roman" w:hAnsi="Times New Roman" w:eastAsia="Times New Roman"/>
          <w:color w:val="auto"/>
          <w:highlight w:val="none"/>
          <w:shd w:fill="auto" w:val="clear"/>
        </w:rPr>
      </w:pPr>
      <w:r>
        <w:rPr>
          <w:rFonts w:eastAsia="Times New Roman" w:ascii="Times New Roman" w:hAnsi="Times New Roman"/>
          <w:color w:val="000000"/>
          <w:shd w:fill="auto" w:val="clear"/>
        </w:rPr>
      </w:r>
    </w:p>
    <w:p>
      <w:pPr>
        <w:pStyle w:val="HEADERTEXT"/>
        <w:rPr>
          <w:highlight w:val="none"/>
          <w:shd w:fill="auto" w:val="clear"/>
        </w:rPr>
      </w:pPr>
      <w:r>
        <w:rPr>
          <w:rFonts w:eastAsia="Times New Roman" w:ascii="Times New Roman" w:hAnsi="Times New Roman"/>
          <w:color w:val="000000"/>
          <w:shd w:fill="auto" w:val="clear"/>
        </w:rPr>
        <w:t>6. При отсутствии в обосновывающих стоимость материальных ресурсов, оборудования, работ и услуг документах производителей и (или) поставщиков сведений по графам 16-20 соответствующие графы формы конъюнктурного анализа заполняются на основании информации из открытых и (или) официальных источников.</w:t>
      </w:r>
    </w:p>
    <w:p>
      <w:pPr>
        <w:pStyle w:val="HEADERTEXT"/>
        <w:rPr>
          <w:rFonts w:ascii="Times New Roman" w:hAnsi="Times New Roman" w:eastAsia="Times New Roman"/>
          <w:color w:val="auto"/>
          <w:highlight w:val="none"/>
          <w:shd w:fill="auto" w:val="clear"/>
        </w:rPr>
      </w:pPr>
      <w:r>
        <w:rPr>
          <w:rFonts w:eastAsia="Times New Roman" w:ascii="Times New Roman" w:hAnsi="Times New Roman"/>
          <w:color w:val="000000"/>
          <w:shd w:fill="auto" w:val="clear"/>
        </w:rPr>
      </w:r>
    </w:p>
    <w:p>
      <w:pPr>
        <w:sectPr>
          <w:footerReference w:type="default" r:id="rId17"/>
          <w:footerReference w:type="first" r:id="rId18"/>
          <w:type w:val="nextPage"/>
          <w:pgSz w:orient="landscape" w:w="16838" w:h="11906"/>
          <w:pgMar w:left="425" w:right="851" w:gutter="0" w:header="0" w:top="1276" w:footer="709" w:bottom="766"/>
          <w:pgNumType w:fmt="decimal"/>
          <w:formProt w:val="false"/>
          <w:textDirection w:val="lrTb"/>
          <w:docGrid w:type="default" w:linePitch="360" w:charSpace="0"/>
        </w:sectPr>
        <w:pStyle w:val="HEADERTEXT"/>
        <w:rPr>
          <w:highlight w:val="none"/>
          <w:shd w:fill="auto" w:val="clear"/>
        </w:rPr>
      </w:pPr>
      <w:r>
        <w:rPr>
          <w:rFonts w:eastAsia="Times New Roman" w:ascii="Times New Roman" w:hAnsi="Times New Roman"/>
          <w:color w:val="000000"/>
          <w:shd w:fill="auto" w:val="clear"/>
        </w:rPr>
        <w:t>7. При отсутствии у производителя (поставщика) веб-сайта графа 18 не заполняется.".</w:t>
      </w:r>
    </w:p>
    <w:p>
      <w:pPr>
        <w:pStyle w:val="Normal"/>
        <w:spacing w:lineRule="auto" w:line="240" w:before="0" w:after="0"/>
        <w:ind w:left="6373" w:right="2947" w:firstLine="720"/>
        <w:rPr>
          <w:rFonts w:ascii="Times New Roman" w:hAnsi="Times New Roman"/>
          <w:sz w:val="20"/>
          <w:szCs w:val="20"/>
          <w:highlight w:val="none"/>
          <w:shd w:fill="auto" w:val="clear"/>
        </w:rPr>
      </w:pPr>
      <w:r>
        <w:rPr>
          <w:rFonts w:ascii="Times New Roman" w:hAnsi="Times New Roman"/>
          <w:sz w:val="20"/>
          <w:szCs w:val="20"/>
          <w:shd w:fill="auto" w:val="clear"/>
        </w:rPr>
      </w:r>
    </w:p>
    <w:p>
      <w:pPr>
        <w:pStyle w:val="Normal"/>
        <w:widowControl w:val="false"/>
        <w:tabs>
          <w:tab w:val="clear" w:pos="709"/>
          <w:tab w:val="left" w:pos="426" w:leader="none"/>
        </w:tabs>
        <w:spacing w:lineRule="auto" w:line="240" w:before="0" w:after="0"/>
        <w:jc w:val="right"/>
        <w:rPr/>
      </w:pPr>
      <w:r>
        <w:rPr>
          <w:rStyle w:val="Style15"/>
          <w:rFonts w:ascii="Times New Roman" w:hAnsi="Times New Roman"/>
          <w:iCs/>
          <w:shd w:fill="auto" w:val="clear"/>
        </w:rPr>
        <w:t>Приложение № 3</w:t>
      </w:r>
    </w:p>
    <w:p>
      <w:pPr>
        <w:pStyle w:val="Normal"/>
        <w:widowControl w:val="false"/>
        <w:pBdr>
          <w:bottom w:val="single" w:sz="4" w:space="1" w:color="000000"/>
        </w:pBdr>
        <w:tabs>
          <w:tab w:val="clear" w:pos="709"/>
          <w:tab w:val="left" w:pos="426" w:leader="none"/>
        </w:tabs>
        <w:spacing w:lineRule="auto" w:line="240" w:before="0" w:after="0"/>
        <w:jc w:val="right"/>
        <w:rPr/>
      </w:pPr>
      <w:r>
        <w:rPr>
          <w:rStyle w:val="Style15"/>
          <w:rFonts w:ascii="Times New Roman" w:hAnsi="Times New Roman"/>
          <w:iCs/>
          <w:shd w:fill="auto" w:val="clear"/>
        </w:rPr>
        <w:t xml:space="preserve">к Основным положениям </w:t>
        <w:br/>
        <w:t xml:space="preserve">по установлению требований к оформлению </w:t>
        <w:br/>
        <w:t xml:space="preserve">и составлению сметной документации </w:t>
      </w:r>
    </w:p>
    <w:p>
      <w:pPr>
        <w:pStyle w:val="Normal"/>
        <w:shd w:val="clear" w:color="auto" w:fill="FFFFFF" w:themeFill="background1"/>
        <w:tabs>
          <w:tab w:val="clear" w:pos="709"/>
          <w:tab w:val="left" w:pos="900" w:leader="none"/>
        </w:tabs>
        <w:spacing w:lineRule="auto" w:line="240" w:before="0" w:after="0"/>
        <w:ind w:firstLine="360"/>
        <w:jc w:val="right"/>
        <w:rPr>
          <w:rFonts w:ascii="Times New Roman" w:hAnsi="Times New Roman"/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b/>
          <w:sz w:val="24"/>
          <w:szCs w:val="24"/>
          <w:shd w:fill="auto" w:val="clear"/>
        </w:rPr>
        <w:t>Требования к оформлению и составлению</w:t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b/>
          <w:sz w:val="24"/>
          <w:szCs w:val="24"/>
          <w:shd w:fill="auto" w:val="clear"/>
        </w:rPr>
        <w:t>сметной документации на выполнение проектных и изыскательских работ.</w:t>
      </w:r>
    </w:p>
    <w:p>
      <w:pPr>
        <w:pStyle w:val="ConsPlusNormal1"/>
        <w:numPr>
          <w:ilvl w:val="0"/>
          <w:numId w:val="8"/>
        </w:numPr>
        <w:tabs>
          <w:tab w:val="clear" w:pos="709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Настоящие требования разработаны для единого подхода к определению стоимости проектных и изыскательских работ (далее - ПИР).</w:t>
      </w:r>
    </w:p>
    <w:p>
      <w:pPr>
        <w:pStyle w:val="ConsPlusNormal1"/>
        <w:numPr>
          <w:ilvl w:val="0"/>
          <w:numId w:val="8"/>
        </w:numPr>
        <w:tabs>
          <w:tab w:val="clear" w:pos="709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>Затраты на проведение инженерных изысканий, подготовку проектной и рабочей документации определяются расчетами на основании сметных нормативов, сведения о которых включены в ФРСН.</w:t>
      </w:r>
    </w:p>
    <w:p>
      <w:pPr>
        <w:pStyle w:val="ListParagraph"/>
        <w:numPr>
          <w:ilvl w:val="0"/>
          <w:numId w:val="8"/>
        </w:numPr>
        <w:tabs>
          <w:tab w:val="clear" w:pos="709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 xml:space="preserve">Сметы на ПИР составлять на основании технических требований (технического задания) заказчика, графиков производства работ, программы изысканий. </w:t>
      </w:r>
    </w:p>
    <w:p>
      <w:pPr>
        <w:pStyle w:val="ListParagraph"/>
        <w:numPr>
          <w:ilvl w:val="0"/>
          <w:numId w:val="8"/>
        </w:numPr>
        <w:tabs>
          <w:tab w:val="clear" w:pos="709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 xml:space="preserve">Сметный расчет стоимости изыскательских работ составляется в соответствии с </w:t>
      </w:r>
    </w:p>
    <w:p>
      <w:pPr>
        <w:pStyle w:val="ListParagraph"/>
        <w:tabs>
          <w:tab w:val="clear" w:pos="709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прилагаемой к сметному расчету программой изысканий. Программа изысканий составляется исполнителем на основе технического задания заказчика с учетом требований соответствующих нормативных документов, регламентирующих состав и объем изыскательских работ.</w:t>
      </w:r>
      <w:r>
        <w:rPr>
          <w:sz w:val="24"/>
          <w:szCs w:val="24"/>
          <w:shd w:fill="auto" w:val="clear"/>
        </w:rPr>
        <w:t xml:space="preserve"> </w:t>
      </w:r>
      <w:r>
        <w:rPr>
          <w:rFonts w:ascii="Times New Roman" w:hAnsi="Times New Roman"/>
          <w:sz w:val="24"/>
          <w:szCs w:val="24"/>
          <w:shd w:fill="auto" w:val="clear"/>
        </w:rPr>
        <w:t>По окончании изысканий составляется сметный расчет – исполнительная смета (необходимо предусмотреть условиями договора) на основе технического отчета по результатам изысканий в соответствии с составом и объемами фактически выполненных работ с учетом категории сложности их выполнения.</w:t>
      </w:r>
    </w:p>
    <w:p>
      <w:pPr>
        <w:pStyle w:val="ListParagraph"/>
        <w:numPr>
          <w:ilvl w:val="0"/>
          <w:numId w:val="8"/>
        </w:numPr>
        <w:tabs>
          <w:tab w:val="clear" w:pos="709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 xml:space="preserve">Стоимость проектных работ на строительство, реконструкцию и техническое перевооружение объектов производственного назначения определяется на основе Справочников базовых цен на соответствующие работы, входящих в ФРСН, «Методических указаний по применению Справочников базовых цен на проектные работы в строительстве», утвержденных Приказом Министерства регионального развития РФ от 29.12.2009 № 620 (далее - Методика №620) и Методики определения стоимости работ по подготовке проектной документации, утвержденной Приказом Министерства строительства и жилищно-коммунального хозяйства РФ от 1 октября 2021 г. N 707/пр. (далее – Методика №707) не противоречащим положениям Методики №620 и Справочникам базовых цен (далее – СБЦ) на проектные работы в строительстве . </w:t>
      </w:r>
    </w:p>
    <w:p>
      <w:pPr>
        <w:pStyle w:val="ListParagraph"/>
        <w:numPr>
          <w:ilvl w:val="0"/>
          <w:numId w:val="8"/>
        </w:numPr>
        <w:tabs>
          <w:tab w:val="clear" w:pos="709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 xml:space="preserve">Стоимость изыскательских работ определять на основе «Методического пособия по определению стоимости инженерных изысканий для строительства», утвержденного письмом Госстроя России от 31.03.2004 № НЗ-2078/10 и внесенного в ФРСН нормативов или иного актуального документа.  </w:t>
      </w:r>
    </w:p>
    <w:p>
      <w:pPr>
        <w:pStyle w:val="ListParagraph"/>
        <w:numPr>
          <w:ilvl w:val="0"/>
          <w:numId w:val="8"/>
        </w:numPr>
        <w:tabs>
          <w:tab w:val="clear" w:pos="709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 xml:space="preserve">При определении стоимости изыскательских работ </w:t>
      </w:r>
      <w:r>
        <w:rPr>
          <w:rFonts w:ascii="Times New Roman" w:hAnsi="Times New Roman"/>
          <w:b/>
          <w:sz w:val="24"/>
          <w:szCs w:val="24"/>
          <w:shd w:fill="auto" w:val="clear"/>
        </w:rPr>
        <w:t>по согласованию с Заказчиком</w:t>
      </w:r>
      <w:r>
        <w:rPr>
          <w:rFonts w:ascii="Times New Roman" w:hAnsi="Times New Roman"/>
          <w:sz w:val="24"/>
          <w:szCs w:val="24"/>
          <w:shd w:fill="auto" w:val="clear"/>
        </w:rPr>
        <w:t xml:space="preserve"> возможно применять следующие коэффициенты в соответствии с письмом ПАО «ПНИИИС» от 03.04.2014 №11/298:</w:t>
      </w:r>
    </w:p>
    <w:p>
      <w:pPr>
        <w:pStyle w:val="ListParagraph"/>
        <w:numPr>
          <w:ilvl w:val="0"/>
          <w:numId w:val="5"/>
        </w:numPr>
        <w:tabs>
          <w:tab w:val="clear" w:pos="709"/>
          <w:tab w:val="left" w:pos="567" w:leader="none"/>
        </w:tabs>
        <w:spacing w:lineRule="auto" w:line="240" w:before="0" w:after="0"/>
        <w:ind w:left="567" w:firstLine="283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1,75 – «выполнение картографических работ с составлением планов (продольных профилей) в двух видах: на магнитном и бумажном носителях» (п. 15 е Общих указаний) - при наличии в технических требованиях указания о необходимости составления инженерно-топографических планов (продольных профилей) в двух видах (в электронном виде и на планшете на жесткой основе), либо при выявлении данных требований в процессе выполнения изысканий;</w:t>
      </w:r>
    </w:p>
    <w:p>
      <w:pPr>
        <w:pStyle w:val="ListParagraph"/>
        <w:numPr>
          <w:ilvl w:val="0"/>
          <w:numId w:val="5"/>
        </w:numPr>
        <w:tabs>
          <w:tab w:val="clear" w:pos="709"/>
          <w:tab w:val="left" w:pos="567" w:leader="none"/>
        </w:tabs>
        <w:spacing w:lineRule="auto" w:line="240" w:before="0" w:after="0"/>
        <w:ind w:left="567" w:firstLine="283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1,2 – «выполнение камеральных и картографических работ с применением компьютерных технологий» (п. 15 д Общих указаний) – применяется при условии, что топографические планы выполняются только в электронном виде (распечатка является вариантом электронной версии);</w:t>
      </w:r>
    </w:p>
    <w:p>
      <w:pPr>
        <w:pStyle w:val="ListParagraph"/>
        <w:numPr>
          <w:ilvl w:val="0"/>
          <w:numId w:val="5"/>
        </w:numPr>
        <w:tabs>
          <w:tab w:val="clear" w:pos="709"/>
          <w:tab w:val="left" w:pos="567" w:leader="none"/>
        </w:tabs>
        <w:spacing w:lineRule="auto" w:line="240" w:before="0" w:after="0"/>
        <w:ind w:left="567" w:firstLine="283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1,25 – «при выполнении полевых работ на территориях гидроэлектростанций» (п. 8 в Общих указаний) – на станциях Северного Кавказа и Амурской области;</w:t>
      </w:r>
    </w:p>
    <w:p>
      <w:pPr>
        <w:pStyle w:val="ListParagraph"/>
        <w:numPr>
          <w:ilvl w:val="0"/>
          <w:numId w:val="5"/>
        </w:numPr>
        <w:tabs>
          <w:tab w:val="clear" w:pos="709"/>
          <w:tab w:val="left" w:pos="567" w:leader="none"/>
        </w:tabs>
        <w:spacing w:lineRule="auto" w:line="240" w:before="0" w:after="0"/>
        <w:ind w:left="567" w:firstLine="283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1,15 – «при выполнении полевых работ на территориях гидроэлектростанций и ТЭЦ» (п. 8 в Общих указаний) – на всех гидроэлектростанциях и ТЭЦ, кроме станций Северного Кавказа и Амурской области</w:t>
      </w:r>
    </w:p>
    <w:p>
      <w:pPr>
        <w:pStyle w:val="ListParagraph"/>
        <w:numPr>
          <w:ilvl w:val="0"/>
          <w:numId w:val="8"/>
        </w:numPr>
        <w:tabs>
          <w:tab w:val="clear" w:pos="709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Применение расценки, предусмотренной § 4 таблицы 73 «Изготовление копии профиля на кальке с оригинала, вычерченного в карандаше» обоснованно, если такой вид работ в действительности выполнялся (был предусмотрен заданием и/или программой работ).</w:t>
      </w:r>
    </w:p>
    <w:p>
      <w:pPr>
        <w:pStyle w:val="ListParagraph"/>
        <w:numPr>
          <w:ilvl w:val="0"/>
          <w:numId w:val="8"/>
        </w:numPr>
        <w:tabs>
          <w:tab w:val="clear" w:pos="709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При определении стоимости ПИР в сметных расчетах указывать полное наименование нормативного документа, на основании, которого составляется сметная документация с указанием всех реквизитов документа.</w:t>
      </w:r>
    </w:p>
    <w:p>
      <w:pPr>
        <w:pStyle w:val="ListParagraph"/>
        <w:numPr>
          <w:ilvl w:val="0"/>
          <w:numId w:val="8"/>
        </w:numPr>
        <w:tabs>
          <w:tab w:val="clear" w:pos="709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При использовании в сметах коэффициентов (доплат, процентов и т.д.) в графе «Номер частей, глав, таблиц, процентов…» указывать обоснование из методических указаний, общих положений сборников или других нормативных документов и приложений к ним.</w:t>
      </w:r>
    </w:p>
    <w:p>
      <w:pPr>
        <w:pStyle w:val="ListParagraph"/>
        <w:numPr>
          <w:ilvl w:val="0"/>
          <w:numId w:val="8"/>
        </w:numPr>
        <w:tabs>
          <w:tab w:val="clear" w:pos="709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Проектная документация отдельных этапов строительства, реконструкции и различных видов объектов капитального строительства должна быть выполнена в соответствии с «Положением о составе разделов проектной документации и требованиях к их содержанию», утвержденным Постановлением Правительства РФ от 16.02.2008 №87.</w:t>
      </w:r>
    </w:p>
    <w:p>
      <w:pPr>
        <w:pStyle w:val="ListParagraph"/>
        <w:numPr>
          <w:ilvl w:val="0"/>
          <w:numId w:val="8"/>
        </w:numPr>
        <w:tabs>
          <w:tab w:val="clear" w:pos="709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Пересчет сметной стоимости проектных (изыскательских) работ по состоянию на 01.01.2001г, 01.01.1995г. (1991г.) следует производить согласно индексам на указанные (проектные или изыскательские) работы, рекомендованным к применению письмом соответствующего органа исполнительной власти, уполномоченного в области сметного нормирования и ценообразования в сфере градостроительной деятельности.</w:t>
      </w:r>
    </w:p>
    <w:p>
      <w:pPr>
        <w:pStyle w:val="ListParagraph"/>
        <w:numPr>
          <w:ilvl w:val="0"/>
          <w:numId w:val="8"/>
        </w:numPr>
        <w:tabs>
          <w:tab w:val="clear" w:pos="709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 xml:space="preserve">При определении стоимости проектных работ от стоимости строительства по сборникам базовых цен на проектные работы для строительства, разработанным в уровне цен 2001 года необходимо руководствоваться пунктом 2.2 раздела </w:t>
      </w:r>
      <w:r>
        <w:rPr>
          <w:rFonts w:ascii="Times New Roman" w:hAnsi="Times New Roman"/>
          <w:sz w:val="24"/>
          <w:szCs w:val="24"/>
          <w:shd w:fill="auto" w:val="clear"/>
          <w:lang w:val="en-US"/>
        </w:rPr>
        <w:t>II</w:t>
      </w:r>
      <w:r>
        <w:rPr>
          <w:rFonts w:ascii="Times New Roman" w:hAnsi="Times New Roman"/>
          <w:sz w:val="24"/>
          <w:szCs w:val="24"/>
          <w:shd w:fill="auto" w:val="clear"/>
        </w:rPr>
        <w:t xml:space="preserve"> МУ. При определении стоимости проектных работ от стоимости строительства по сборникам базовых цен на проектные работы для строительства (изд. 1994-1999 гг.) стоимость строительства следует приводить к уровню цен по состоянию на 01.01.1991. Для пересчета стоимости строительно-монтажных работ и прочих затрат из уровня цен по состоянию на 01.01.2000 в уровень цен по состоянию 01.01.1991 и обратно использовать соответствующее отношение индексов пересчета из уровня цен 1991-го и 2000 года в уровень цен I квартала 2010 года, опубликованных в последней официальной публикации индексов Министерства регионального развития Российской Федерации к уровню цен 1991 года (письмо от 20 января 2010 г. № 1289-СК/08). При отсутствии разделения стоимости строительства на «Строительно-монтажные работы», «Оборудование» и «Прочие затраты» применяется индекс на строительно-монтажные работы».</w:t>
      </w:r>
    </w:p>
    <w:p>
      <w:pPr>
        <w:pStyle w:val="ListParagraph"/>
        <w:numPr>
          <w:ilvl w:val="0"/>
          <w:numId w:val="8"/>
        </w:numPr>
        <w:tabs>
          <w:tab w:val="clear" w:pos="709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При составлении сметной документации на подготовку проектной документации рекомендуется дополнить Технические требования пунктом о составлении проектной организацией Ведомости объемов конструктивных решений (элементов) и комплексов (видов) работ, оборудования.</w:t>
      </w:r>
    </w:p>
    <w:p>
      <w:pPr>
        <w:pStyle w:val="ConsPlusNormal1"/>
        <w:widowControl/>
        <w:numPr>
          <w:ilvl w:val="0"/>
          <w:numId w:val="8"/>
        </w:numPr>
        <w:tabs>
          <w:tab w:val="clear" w:pos="709"/>
          <w:tab w:val="left" w:pos="1134" w:leader="none"/>
        </w:tabs>
        <w:spacing w:before="40" w:after="40"/>
        <w:ind w:left="0"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В сметных расчетах допускается использовать прогнозные индексы-дефляторы в соответствии с текущим прогнозом Министерства экономического развития РФ по строке ИПЦ (индекс потребительских цен), в среднем за год, вариант – базовый (указать реквизиты приказа при формировании ТТ) в размере … (указать размер применяемых индексов-дефляторов). </w:t>
      </w:r>
    </w:p>
    <w:p>
      <w:pPr>
        <w:pStyle w:val="ConsPlusNormal1"/>
        <w:widowControl/>
        <w:tabs>
          <w:tab w:val="clear" w:pos="709"/>
          <w:tab w:val="left" w:pos="1134" w:leader="none"/>
        </w:tabs>
        <w:spacing w:before="40" w:after="40"/>
        <w:ind w:left="567" w:hanging="0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Стоимость работ определяется по формуле: </w:t>
      </w:r>
    </w:p>
    <w:p>
      <w:pPr>
        <w:pStyle w:val="ConsPlusNormal1"/>
        <w:spacing w:before="40" w:after="40"/>
        <w:ind w:firstLine="1276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  <w:t xml:space="preserve">  </w:t>
      </w:r>
      <w:r>
        <w:rPr/>
      </w:r>
      <m:oMath xmlns:m="http://schemas.openxmlformats.org/officeDocument/2006/math">
        <m:r>
          <w:rPr>
            <w:rFonts w:ascii="Cambria Math" w:hAnsi="Cambria Math"/>
          </w:rPr>
          <m:t xml:space="preserve">Цд</m:t>
        </m:r>
        <m:r>
          <w:rPr>
            <w:rFonts w:ascii="Cambria Math" w:hAnsi="Cambria Math"/>
          </w:rPr>
          <m:t xml:space="preserve">=</m:t>
        </m:r>
        <m:r>
          <w:rPr>
            <w:rFonts w:ascii="Cambria Math" w:hAnsi="Cambria Math"/>
          </w:rPr>
          <m:t xml:space="preserve">С</m:t>
        </m:r>
        <m:r>
          <w:rPr>
            <w:rFonts w:ascii="Cambria Math" w:hAnsi="Cambria Math"/>
          </w:rPr>
          <m:t xml:space="preserve">∗</m:t>
        </m:r>
        <m:r>
          <w:rPr>
            <w:rFonts w:ascii="Cambria Math" w:hAnsi="Cambria Math"/>
          </w:rPr>
          <m:t xml:space="preserve">Иинфл</m:t>
        </m:r>
        <m:d>
          <m:dPr>
            <m:begChr m:val="("/>
            <m:endChr m:val=")"/>
          </m:dPr>
          <m:e>
            <m:r>
              <w:rPr>
                <w:rFonts w:ascii="Cambria Math" w:hAnsi="Cambria Math"/>
              </w:rPr>
              <m:t xml:space="preserve">1</m:t>
            </m:r>
          </m:e>
        </m:d>
      </m:oMath>
    </w:p>
    <w:p>
      <w:pPr>
        <w:pStyle w:val="ConsPlusNormal1"/>
        <w:widowControl/>
        <w:spacing w:before="40" w:after="40"/>
        <w:ind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  <w:t>где</w:t>
      </w:r>
    </w:p>
    <w:p>
      <w:pPr>
        <w:pStyle w:val="ConsPlusNormal1"/>
        <w:widowControl/>
        <w:spacing w:before="40" w:after="40"/>
        <w:ind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  <w:t>Цд – стоимость договора;</w:t>
      </w:r>
    </w:p>
    <w:p>
      <w:pPr>
        <w:pStyle w:val="ConsPlusNormal1"/>
        <w:widowControl/>
        <w:spacing w:before="40" w:after="40"/>
        <w:ind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  <w:t xml:space="preserve">С - сметная стоимость подрядных работ, подлежащих выполнению подрядчиком; </w:t>
      </w:r>
    </w:p>
    <w:p>
      <w:pPr>
        <w:pStyle w:val="ConsPlusNormal1"/>
        <w:widowControl/>
        <w:spacing w:before="40" w:after="40"/>
        <w:ind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  <w:t>Иинф – индекс инфляции, рассчитываемый как среднее арифметическое значение между индексами прогнозной инфляции на даты начала и окончания работ. При расчете индекса прогнозной инфляции определение периода выполнения работ осуществляется исходя из продолжительности, установленной заказчиком в задании на выполнение проектных и изыскательских работ.</w:t>
      </w:r>
    </w:p>
    <w:p>
      <w:pPr>
        <w:pStyle w:val="ConsPlusNormal1"/>
        <w:spacing w:before="40" w:after="4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  <w:highlight w:val="none"/>
          <w:shd w:fill="auto" w:val="clear"/>
        </w:rPr>
      </w:pP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</w:r>
    </w:p>
    <w:p>
      <w:pPr>
        <w:pStyle w:val="ConsPlusNormal1"/>
        <w:spacing w:before="40" w:after="40"/>
        <w:ind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  <w:t xml:space="preserve">В случае, если срок выполнения работ превышает календарный год, то индекс инфляции определяется по формуле: </w:t>
      </w:r>
    </w:p>
    <w:p>
      <w:pPr>
        <w:pStyle w:val="ConsPlusNormal1"/>
        <w:widowControl/>
        <w:spacing w:before="40" w:after="40"/>
        <w:ind w:firstLine="426"/>
        <w:jc w:val="center"/>
        <w:rPr>
          <w:highlight w:val="none"/>
          <w:shd w:fill="auto" w:val="clear"/>
        </w:rPr>
      </w:pPr>
      <w:r>
        <w:rPr/>
      </w:r>
      <m:oMathPara xmlns:m="http://schemas.openxmlformats.org/officeDocument/2006/math">
        <m:oMathParaPr>
          <m:jc m:val="center"/>
        </m:oMathParaPr>
        <m:oMath>
          <m:r>
            <w:rPr>
              <w:rFonts w:ascii="Cambria Math" w:hAnsi="Cambria Math"/>
            </w:rPr>
            <m:t xml:space="preserve">И</m:t>
          </m:r>
          <m:r>
            <w:rPr>
              <w:rFonts w:ascii="Cambria Math" w:hAnsi="Cambria Math"/>
            </w:rPr>
            <m:t xml:space="preserve">инф</m:t>
          </m:r>
          <m:r>
            <w:rPr>
              <w:rFonts w:ascii="Cambria Math" w:hAnsi="Cambria Math"/>
            </w:rPr>
            <m:t xml:space="preserve">=</m:t>
          </m:r>
          <m:r>
            <w:rPr>
              <w:rFonts w:ascii="Cambria Math" w:hAnsi="Cambria Math"/>
            </w:rPr>
            <m:t xml:space="preserve">Д</m:t>
          </m:r>
          <m:r>
            <w:rPr>
              <w:rFonts w:ascii="Cambria Math" w:hAnsi="Cambria Math"/>
            </w:rPr>
            <m:t xml:space="preserve">1</m:t>
          </m:r>
          <m:r>
            <w:rPr>
              <w:rFonts w:ascii="Cambria Math" w:hAnsi="Cambria Math"/>
            </w:rPr>
            <m:t xml:space="preserve">∗</m:t>
          </m:r>
          <m:r>
            <w:rPr>
              <w:rFonts w:ascii="Cambria Math" w:hAnsi="Cambria Math"/>
            </w:rPr>
            <m:t xml:space="preserve">К</m:t>
          </m:r>
          <m:r>
            <w:rPr>
              <w:rFonts w:ascii="Cambria Math" w:hAnsi="Cambria Math"/>
            </w:rPr>
            <m:t xml:space="preserve">1</m:t>
          </m:r>
          <m:r>
            <w:rPr>
              <w:rFonts w:ascii="Cambria Math" w:hAnsi="Cambria Math"/>
            </w:rPr>
            <m:t xml:space="preserve">+</m:t>
          </m:r>
          <m:r>
            <w:rPr>
              <w:rFonts w:ascii="Cambria Math" w:hAnsi="Cambria Math"/>
            </w:rPr>
            <m:t xml:space="preserve">Д</m:t>
          </m:r>
          <m:r>
            <w:rPr>
              <w:rFonts w:ascii="Cambria Math" w:hAnsi="Cambria Math"/>
            </w:rPr>
            <m:t xml:space="preserve">2</m:t>
          </m:r>
          <m:r>
            <w:rPr>
              <w:rFonts w:ascii="Cambria Math" w:hAnsi="Cambria Math"/>
            </w:rPr>
            <m:t xml:space="preserve">∗</m:t>
          </m:r>
          <m:r>
            <w:rPr>
              <w:rFonts w:ascii="Cambria Math" w:hAnsi="Cambria Math"/>
            </w:rPr>
            <m:t xml:space="preserve">К</m:t>
          </m:r>
          <m:r>
            <w:rPr>
              <w:rFonts w:ascii="Cambria Math" w:hAnsi="Cambria Math"/>
            </w:rPr>
            <m:t xml:space="preserve">2</m:t>
          </m:r>
          <m:r>
            <w:rPr>
              <w:rFonts w:ascii="Cambria Math" w:hAnsi="Cambria Math"/>
            </w:rPr>
            <m:t xml:space="preserve">+</m:t>
          </m:r>
          <m:r>
            <w:rPr>
              <w:rFonts w:ascii="Cambria Math" w:hAnsi="Cambria Math"/>
            </w:rPr>
            <m:t xml:space="preserve">...</m:t>
          </m:r>
          <m:r>
            <w:rPr>
              <w:rFonts w:ascii="Cambria Math" w:hAnsi="Cambria Math"/>
            </w:rPr>
            <m:t xml:space="preserve">+</m:t>
          </m:r>
          <m:r>
            <w:rPr>
              <w:rFonts w:ascii="Cambria Math" w:hAnsi="Cambria Math"/>
            </w:rPr>
            <m:t xml:space="preserve">Д</m:t>
          </m:r>
          <m:r>
            <w:rPr>
              <w:rFonts w:ascii="Cambria Math" w:hAnsi="Cambria Math"/>
            </w:rPr>
            <m:t xml:space="preserve">i</m:t>
          </m:r>
          <m:r>
            <w:rPr>
              <w:rFonts w:ascii="Cambria Math" w:hAnsi="Cambria Math"/>
            </w:rPr>
            <m:t xml:space="preserve">∗</m:t>
          </m:r>
          <m:r>
            <w:rPr>
              <w:rFonts w:ascii="Cambria Math" w:hAnsi="Cambria Math"/>
            </w:rPr>
            <m:t xml:space="preserve">К</m:t>
          </m:r>
          <m:r>
            <w:rPr>
              <w:rFonts w:ascii="Cambria Math" w:hAnsi="Cambria Math"/>
            </w:rPr>
            <m:t xml:space="preserve">i</m:t>
          </m:r>
          <m:d>
            <m:dPr>
              <m:begChr m:val="("/>
              <m:endChr m:val=")"/>
            </m:dPr>
            <m:e>
              <m:r>
                <w:rPr>
                  <w:rFonts w:ascii="Cambria Math" w:hAnsi="Cambria Math"/>
                </w:rPr>
                <m:t xml:space="preserve">2</m:t>
              </m:r>
            </m:e>
          </m:d>
        </m:oMath>
      </m:oMathPara>
    </w:p>
    <w:p>
      <w:pPr>
        <w:pStyle w:val="ConsPlusNormal1"/>
        <w:widowControl/>
        <w:spacing w:before="40" w:after="40"/>
        <w:ind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  <w:t>где</w:t>
      </w:r>
    </w:p>
    <w:p>
      <w:pPr>
        <w:pStyle w:val="Dt-p"/>
        <w:shd w:val="clear" w:color="auto" w:fill="FFFFFF"/>
        <w:spacing w:beforeAutospacing="0" w:before="0" w:afterAutospacing="0" w:after="0"/>
        <w:ind w:firstLine="567"/>
        <w:jc w:val="both"/>
        <w:textAlignment w:val="baseline"/>
        <w:rPr>
          <w:highlight w:val="none"/>
          <w:shd w:fill="auto" w:val="clear"/>
        </w:rPr>
      </w:pPr>
      <w:r>
        <w:rPr>
          <w:color w:val="000000"/>
          <w:shd w:fill="auto" w:val="clear"/>
        </w:rPr>
        <w:t>Д1,Д2,Д</w:t>
      </w:r>
      <w:r>
        <w:rPr>
          <w:color w:val="000000"/>
          <w:shd w:fill="auto" w:val="clear"/>
          <w:lang w:val="en-US"/>
        </w:rPr>
        <w:t>i</w:t>
      </w:r>
      <w:r>
        <w:rPr>
          <w:color w:val="000000"/>
          <w:shd w:fill="auto" w:val="clear"/>
        </w:rPr>
        <w:t xml:space="preserve"> - доля сметной стоимости работ, подлежащих выполнению соответственно в 1-й, 2-й, 3-й, i-ый годы строительства;</w:t>
      </w:r>
      <w:bookmarkStart w:id="36" w:name="l170"/>
      <w:bookmarkEnd w:id="36"/>
    </w:p>
    <w:p>
      <w:pPr>
        <w:pStyle w:val="Dt-p"/>
        <w:shd w:val="clear" w:color="auto" w:fill="FFFFFF"/>
        <w:spacing w:beforeAutospacing="0" w:before="0" w:afterAutospacing="0" w:after="0"/>
        <w:ind w:firstLine="567"/>
        <w:jc w:val="both"/>
        <w:textAlignment w:val="baseline"/>
        <w:rPr>
          <w:highlight w:val="none"/>
          <w:shd w:fill="auto" w:val="clear"/>
        </w:rPr>
      </w:pPr>
      <w:r>
        <w:rPr>
          <w:color w:val="000000"/>
          <w:shd w:fill="auto" w:val="clear"/>
        </w:rPr>
        <w:t>i - год завершения строительства объекта;</w:t>
      </w:r>
    </w:p>
    <w:p>
      <w:pPr>
        <w:pStyle w:val="Dt-p"/>
        <w:shd w:val="clear" w:color="auto" w:fill="FFFFFF"/>
        <w:spacing w:beforeAutospacing="0" w:before="0" w:afterAutospacing="0" w:after="0"/>
        <w:ind w:firstLine="567"/>
        <w:jc w:val="both"/>
        <w:textAlignment w:val="baseline"/>
        <w:rPr>
          <w:highlight w:val="none"/>
          <w:shd w:fill="auto" w:val="clear"/>
        </w:rPr>
      </w:pPr>
      <w:r>
        <w:rPr>
          <w:color w:val="000000"/>
          <w:shd w:fill="auto" w:val="clear"/>
        </w:rPr>
        <w:t>К1 - индекс прогнозной инфляции за первый год строительства объекта, определяемый как среднее арифметическое между индексом прогнозной инфляции на дату начала строительства объекта и индексом прогнозной инфляции на декабрь первого года строительства объекта;</w:t>
      </w:r>
      <w:bookmarkStart w:id="37" w:name="l38"/>
      <w:bookmarkEnd w:id="37"/>
    </w:p>
    <w:p>
      <w:pPr>
        <w:pStyle w:val="Dt-p"/>
        <w:shd w:val="clear" w:color="auto" w:fill="FFFFFF"/>
        <w:spacing w:beforeAutospacing="0" w:before="0" w:afterAutospacing="0" w:after="0"/>
        <w:ind w:firstLine="567"/>
        <w:jc w:val="both"/>
        <w:textAlignment w:val="baseline"/>
        <w:rPr>
          <w:highlight w:val="none"/>
          <w:shd w:fill="auto" w:val="clear"/>
        </w:rPr>
      </w:pPr>
      <w:r>
        <w:rPr>
          <w:color w:val="000000"/>
          <w:shd w:fill="auto" w:val="clear"/>
        </w:rPr>
        <w:t>К2 - индекс прогнозной инфляции, учитывающий инфляцию за первый и второй годы строительства объекта. Рассчитывается как произведение индекса прогнозной инфляции, устанавливаемого нарастающим итогом на декабрь первого года строительства объекта, и индекса прогнозной инфляции на второй год строительства объекта, определенного как среднее арифметическое между индексом прогнозной инфляции на январь второго года строительства объекта и индекса прогнозной инфляции на декабрь второго года строительства объекта;</w:t>
      </w:r>
      <w:bookmarkStart w:id="38" w:name="l39"/>
      <w:bookmarkStart w:id="39" w:name="l171"/>
      <w:bookmarkEnd w:id="38"/>
      <w:bookmarkEnd w:id="39"/>
    </w:p>
    <w:p>
      <w:pPr>
        <w:pStyle w:val="ConsPlusNormal1"/>
        <w:spacing w:before="40" w:after="40"/>
        <w:ind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  <w:t>К3 - индекс прогнозной инфляции, учитывающий инфляцию за весь период строительства объекта. Указанный индекс рассчитывается как произведение индекса прогнозной инфляции, устанавливаемого нарастающим итогом на декабрь предшествующего года строительства объекта, и индекса прогнозной инфляции на последний год строительства объекта, определенного как среднее арифметическое между индексом прогнозной инфляции на январь последнего года строительства объекта и индексом прогнозной инфляции на дату окончания строительства объекта в последнем году.</w:t>
      </w:r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 </w:t>
      </w:r>
    </w:p>
    <w:p>
      <w:pPr>
        <w:pStyle w:val="ConsPlusNormal1"/>
        <w:spacing w:before="40" w:after="40"/>
        <w:ind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  <w:t xml:space="preserve"> </w:t>
      </w:r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 </w:t>
      </w:r>
      <w:r>
        <w:rPr>
          <w:rFonts w:cs="Times New Roman" w:ascii="Times New Roman" w:hAnsi="Times New Roman"/>
          <w:sz w:val="24"/>
          <w:szCs w:val="24"/>
          <w:shd w:fill="auto" w:val="clear"/>
        </w:rPr>
        <w:t>При этом:</w:t>
      </w:r>
    </w:p>
    <w:p>
      <w:pPr>
        <w:pStyle w:val="ConsPlusNormal1"/>
        <w:spacing w:before="40" w:after="40"/>
        <w:ind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>1) если срок выполнения работ указан в целом по договору (дата начала работ – дата окончание работ), применяется единый дефлятор, в соответствии с формулой (1)</w:t>
      </w:r>
    </w:p>
    <w:p>
      <w:pPr>
        <w:pStyle w:val="ConsPlusNormal1"/>
        <w:spacing w:before="40" w:after="40"/>
        <w:ind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>2) если договором предусмотрен график выполнения работ с разбивкой на этапы (дата начала работ по этапу – дата окончания работ по этапу), дефлятор применяется в соответствии с таким графиком, и рассчитывается на каждый этап, в соответствии с формулой (2).</w:t>
      </w:r>
    </w:p>
    <w:p>
      <w:pPr>
        <w:pStyle w:val="ConsPlusNormal1"/>
        <w:widowControl/>
        <w:spacing w:before="40" w:after="40"/>
        <w:ind w:firstLine="567"/>
        <w:jc w:val="both"/>
        <w:rPr>
          <w:rFonts w:ascii="Times New Roman" w:hAnsi="Times New Roman" w:cs="Times New Roman"/>
          <w:b/>
          <w:color w:val="000000"/>
          <w:sz w:val="24"/>
          <w:szCs w:val="24"/>
          <w:highlight w:val="none"/>
          <w:shd w:fill="auto" w:val="clear"/>
        </w:rPr>
      </w:pPr>
      <w:r>
        <w:rPr>
          <w:rFonts w:cs="Times New Roman" w:ascii="Times New Roman" w:hAnsi="Times New Roman"/>
          <w:b/>
          <w:color w:val="000000"/>
          <w:sz w:val="24"/>
          <w:szCs w:val="24"/>
          <w:shd w:fill="auto" w:val="clear"/>
        </w:rPr>
      </w:r>
    </w:p>
    <w:p>
      <w:pPr>
        <w:pStyle w:val="ListParagraph"/>
        <w:numPr>
          <w:ilvl w:val="0"/>
          <w:numId w:val="8"/>
        </w:numPr>
        <w:tabs>
          <w:tab w:val="clear" w:pos="709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При определении стоимости ПИР, затраты проектной организации, расположенной в районах, в которых, в соответствии с действующим законодательством производятся выплаты, обусловленные районным регулированием оплаты труда, в т.ч. выплаты по районным коэффициентам, а также надбавки за непрерывный стаж и других льгот, предусмотренных законодательством в районах Крайнего Севера и приравненных к ним местностям на основании: «Рекомендаций по определению коэффициента к базовым ценам на проектные работы, учитывающего дополнительные затраты организаций на льготные выплаты по заработной плате», одобренных и рекомендованных к применению письмом Госстроя России от 30.06.98 N 9-10-17/40 учитываются путем введения к итогу базовой цены повышающих коэффициентов. Размер примененных коэффициентов, доплат и т.д. указывать с обоснованиями из технической части, вводных указаний сборников или других нормативных документов</w:t>
      </w:r>
    </w:p>
    <w:p>
      <w:pPr>
        <w:pStyle w:val="ListParagraph"/>
        <w:numPr>
          <w:ilvl w:val="0"/>
          <w:numId w:val="8"/>
        </w:numPr>
        <w:tabs>
          <w:tab w:val="clear" w:pos="709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Стоимость разработки раздела «Оценка воздействия на окружающую среду» принимается в размере не более 4% от общей стоимости проектных работ.</w:t>
      </w:r>
    </w:p>
    <w:p>
      <w:pPr>
        <w:pStyle w:val="ConsPlusNormal1"/>
        <w:numPr>
          <w:ilvl w:val="0"/>
          <w:numId w:val="8"/>
        </w:numPr>
        <w:tabs>
          <w:tab w:val="clear" w:pos="709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>В случае отсутствия в сметных нормативах, сведения о которых включены в ФРСН, показателей и нормативов цены проектных работ, стоимость работ по подготовке проектной документации определяется в соответствии с положениями Методики №620, либо по нормативному акту, пришедшему на смену данному документу.</w:t>
      </w:r>
    </w:p>
    <w:p>
      <w:pPr>
        <w:pStyle w:val="ConsPlusNormal1"/>
        <w:numPr>
          <w:ilvl w:val="0"/>
          <w:numId w:val="8"/>
        </w:numPr>
        <w:tabs>
          <w:tab w:val="clear" w:pos="709"/>
          <w:tab w:val="left" w:pos="1134" w:leader="none"/>
        </w:tabs>
        <w:ind w:left="0" w:firstLine="567"/>
        <w:jc w:val="both"/>
        <w:rPr/>
      </w:pPr>
      <w:r>
        <w:rPr>
          <w:rFonts w:ascii="Times New Roman" w:hAnsi="Times New Roman"/>
          <w:sz w:val="24"/>
          <w:szCs w:val="24"/>
          <w:shd w:fill="auto" w:val="clear"/>
        </w:rPr>
        <w:t xml:space="preserve">Стоимость работ, цены на которые отсутствуют в МНЗ и СБЦ, внесенных в </w:t>
      </w:r>
      <w:r>
        <w:rPr>
          <w:rFonts w:cs="Times New Roman" w:ascii="Times New Roman" w:hAnsi="Times New Roman"/>
          <w:sz w:val="24"/>
          <w:szCs w:val="24"/>
          <w:shd w:fill="auto" w:val="clear"/>
        </w:rPr>
        <w:t>ФРСН</w:t>
      </w:r>
      <w:r>
        <w:rPr>
          <w:rFonts w:ascii="Times New Roman" w:hAnsi="Times New Roman"/>
          <w:sz w:val="24"/>
          <w:szCs w:val="24"/>
          <w:shd w:fill="auto" w:val="clear"/>
        </w:rPr>
        <w:t xml:space="preserve">, возможно определять сметным расчетом по себестоимости и сложившемуся уровню рентабельности (форма </w:t>
      </w:r>
      <w:hyperlink r:id="rId19">
        <w:r>
          <w:rPr>
            <w:rStyle w:val="Hyperlink"/>
            <w:rFonts w:ascii="Times New Roman" w:hAnsi="Times New Roman"/>
            <w:sz w:val="24"/>
            <w:szCs w:val="24"/>
            <w:shd w:fill="auto" w:val="clear"/>
          </w:rPr>
          <w:t>3п</w:t>
        </w:r>
      </w:hyperlink>
      <w:r>
        <w:rPr>
          <w:rFonts w:ascii="Times New Roman" w:hAnsi="Times New Roman"/>
          <w:sz w:val="24"/>
          <w:szCs w:val="24"/>
          <w:shd w:fill="auto" w:val="clear"/>
        </w:rPr>
        <w:t>) по согласованию с Заказчиком.</w:t>
      </w:r>
    </w:p>
    <w:p>
      <w:pPr>
        <w:pStyle w:val="ConsPlusNormal1"/>
        <w:numPr>
          <w:ilvl w:val="0"/>
          <w:numId w:val="8"/>
        </w:numPr>
        <w:tabs>
          <w:tab w:val="clear" w:pos="709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Стоимость проведения государственной экспертизы проектных работ определяется согласно Постановлению Правительства РФ от 5 марта 2007 г. № 145 «О порядке организации и проведения государственной экспертизы проектной документации и результатов инженерных изысканий».</w:t>
      </w:r>
    </w:p>
    <w:p>
      <w:pPr>
        <w:pStyle w:val="ConsPlusNormal1"/>
        <w:widowControl/>
        <w:numPr>
          <w:ilvl w:val="0"/>
          <w:numId w:val="8"/>
        </w:numPr>
        <w:tabs>
          <w:tab w:val="clear" w:pos="709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>Сметы на ПИР предоставляются в форматах: «Excel» и «</w:t>
      </w:r>
      <w:r>
        <w:rPr>
          <w:rFonts w:cs="Times New Roman" w:ascii="Times New Roman" w:hAnsi="Times New Roman"/>
          <w:sz w:val="24"/>
          <w:szCs w:val="24"/>
          <w:shd w:fill="auto" w:val="clear"/>
          <w:lang w:val="en-US"/>
        </w:rPr>
        <w:t>pdf</w:t>
      </w:r>
      <w:r>
        <w:rPr>
          <w:rFonts w:cs="Times New Roman" w:ascii="Times New Roman" w:hAnsi="Times New Roman"/>
          <w:sz w:val="24"/>
          <w:szCs w:val="24"/>
          <w:shd w:fill="auto" w:val="clear"/>
        </w:rPr>
        <w:t>» (с подписями и печатью). Сметная документация в формате «Exce</w:t>
      </w:r>
      <w:r>
        <w:rPr>
          <w:rFonts w:cs="Times New Roman" w:ascii="Times New Roman" w:hAnsi="Times New Roman"/>
          <w:sz w:val="24"/>
          <w:szCs w:val="24"/>
          <w:shd w:fill="auto" w:val="clear"/>
          <w:lang w:val="en-US"/>
        </w:rPr>
        <w:t>l</w:t>
      </w:r>
      <w:r>
        <w:rPr>
          <w:rFonts w:cs="Times New Roman" w:ascii="Times New Roman" w:hAnsi="Times New Roman"/>
          <w:sz w:val="24"/>
          <w:szCs w:val="24"/>
          <w:shd w:fill="auto" w:val="clear"/>
        </w:rPr>
        <w:t>» должна быть представлена в одном файле с внесением ССРСС, ЛСР и других расчетов на отдельные листы (вкладки) документа.</w:t>
      </w:r>
    </w:p>
    <w:p>
      <w:pPr>
        <w:pStyle w:val="ConsPlusNormal1"/>
        <w:numPr>
          <w:ilvl w:val="0"/>
          <w:numId w:val="8"/>
        </w:numPr>
        <w:tabs>
          <w:tab w:val="clear" w:pos="709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 xml:space="preserve">Результаты вычислений </w:t>
      </w:r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(построчные) </w:t>
      </w:r>
      <w:r>
        <w:rPr>
          <w:rFonts w:ascii="Times New Roman" w:hAnsi="Times New Roman"/>
          <w:sz w:val="24"/>
          <w:szCs w:val="24"/>
          <w:shd w:fill="auto" w:val="clear"/>
        </w:rPr>
        <w:t xml:space="preserve">и итоговые данные в </w:t>
      </w:r>
      <w:r>
        <w:rPr>
          <w:rFonts w:cs="Times New Roman" w:ascii="Times New Roman" w:hAnsi="Times New Roman"/>
          <w:sz w:val="24"/>
          <w:szCs w:val="24"/>
          <w:shd w:fill="auto" w:val="clear"/>
        </w:rPr>
        <w:t>ЛСР (ЛС), приводятся в рублях,</w:t>
      </w:r>
    </w:p>
    <w:p>
      <w:pPr>
        <w:pStyle w:val="ConsPlusNormal1"/>
        <w:numPr>
          <w:ilvl w:val="0"/>
          <w:numId w:val="9"/>
        </w:numPr>
        <w:tabs>
          <w:tab w:val="clear" w:pos="709"/>
          <w:tab w:val="left" w:pos="567" w:leader="none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>при базисно-индексном методе, с округлением до двух знаков после запятой (до копеек);</w:t>
      </w:r>
    </w:p>
    <w:p>
      <w:pPr>
        <w:pStyle w:val="ConsPlusNormal1"/>
        <w:numPr>
          <w:ilvl w:val="0"/>
          <w:numId w:val="9"/>
        </w:numPr>
        <w:tabs>
          <w:tab w:val="clear" w:pos="709"/>
          <w:tab w:val="left" w:pos="567" w:leader="none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>при ресурсно-индексном и ресурсным методах, а также сметных расчетах на отдельные виды затрат - с округлением до целых единиц;</w:t>
      </w:r>
    </w:p>
    <w:p>
      <w:pPr>
        <w:pStyle w:val="ConsPlusNormal1"/>
        <w:numPr>
          <w:ilvl w:val="0"/>
          <w:numId w:val="9"/>
        </w:numPr>
        <w:tabs>
          <w:tab w:val="clear" w:pos="709"/>
          <w:tab w:val="left" w:pos="567" w:leader="none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в сводной смете - в рублях с округлением до целых единиц. </w:t>
      </w:r>
    </w:p>
    <w:p>
      <w:pPr>
        <w:pStyle w:val="ConsPlusNormal1"/>
        <w:numPr>
          <w:ilvl w:val="0"/>
          <w:numId w:val="8"/>
        </w:numPr>
        <w:tabs>
          <w:tab w:val="clear" w:pos="709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eastAsia="Geneva" w:cs="" w:ascii="Times New Roman" w:hAnsi="Times New Roman" w:cstheme="minorBidi"/>
          <w:sz w:val="24"/>
          <w:szCs w:val="24"/>
          <w:shd w:fill="auto" w:val="clear"/>
          <w:lang w:eastAsia="en-US"/>
        </w:rPr>
        <w:t xml:space="preserve">Командировочные расходы, учтенные в смете, подтверждаются отдельным расчетом. Лимиты командировочных расходов при производстве ПИР </w:t>
      </w:r>
      <w:r>
        <w:rPr>
          <w:rFonts w:cs="Times New Roman" w:ascii="Times New Roman" w:hAnsi="Times New Roman"/>
          <w:color w:val="000000"/>
          <w:sz w:val="24"/>
          <w:szCs w:val="24"/>
          <w:u w:val="single"/>
          <w:shd w:fill="auto" w:val="clear"/>
        </w:rPr>
        <w:t>не более</w:t>
      </w:r>
      <w:r>
        <w:rPr>
          <w:rFonts w:eastAsia="Geneva" w:cs="" w:ascii="Times New Roman" w:hAnsi="Times New Roman" w:cstheme="minorBidi"/>
          <w:sz w:val="24"/>
          <w:szCs w:val="24"/>
          <w:shd w:fill="auto" w:val="clear"/>
          <w:lang w:eastAsia="en-US"/>
        </w:rPr>
        <w:t>:</w:t>
      </w:r>
    </w:p>
    <w:p>
      <w:pPr>
        <w:pStyle w:val="ListParagraph"/>
        <w:tabs>
          <w:tab w:val="clear" w:pos="709"/>
          <w:tab w:val="left" w:pos="851" w:leader="none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eastAsia="Geneva" w:ascii="Times New Roman" w:hAnsi="Times New Roman"/>
          <w:sz w:val="24"/>
          <w:szCs w:val="24"/>
          <w:shd w:fill="auto" w:val="clear"/>
        </w:rPr>
        <w:t>суточные - 700 руб./сутки;</w:t>
      </w:r>
    </w:p>
    <w:p>
      <w:pPr>
        <w:pStyle w:val="ListParagraph"/>
        <w:tabs>
          <w:tab w:val="clear" w:pos="709"/>
          <w:tab w:val="left" w:pos="851" w:leader="none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eastAsia="Geneva" w:ascii="Times New Roman" w:hAnsi="Times New Roman"/>
          <w:sz w:val="24"/>
          <w:szCs w:val="24"/>
          <w:shd w:fill="auto" w:val="clear"/>
        </w:rPr>
        <w:t>проживание – 5000 руб./сутки;</w:t>
      </w:r>
    </w:p>
    <w:p>
      <w:pPr>
        <w:pStyle w:val="ListParagraph"/>
        <w:tabs>
          <w:tab w:val="clear" w:pos="709"/>
          <w:tab w:val="left" w:pos="851" w:leader="none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eastAsia="Geneva" w:ascii="Times New Roman" w:hAnsi="Times New Roman"/>
          <w:sz w:val="24"/>
          <w:szCs w:val="24"/>
          <w:shd w:fill="auto" w:val="clear"/>
        </w:rPr>
        <w:t>проезд: поезд (купе) или самолет (класс–эконом с багажом до 20 (двадцати) кг, ручная кладь до 10 (десяти) кг).</w:t>
      </w:r>
    </w:p>
    <w:p>
      <w:pPr>
        <w:pStyle w:val="ConsPlusNormal1"/>
        <w:numPr>
          <w:ilvl w:val="0"/>
          <w:numId w:val="8"/>
        </w:numPr>
        <w:tabs>
          <w:tab w:val="clear" w:pos="709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При одновременной разработке проектной и полной или частичной разработке рабочей документации, суммарный процент базовой цены определяется по согласованию между Заказчиком и Подрядчиком в зависимости от архитектурных, функционально-технологических, конструктивных и инженерно-технических решений, содержащихся в проектной документации и степени их детализации.</w:t>
      </w:r>
    </w:p>
    <w:p>
      <w:pPr>
        <w:sectPr>
          <w:footerReference w:type="default" r:id="rId20"/>
          <w:footerReference w:type="first" r:id="rId21"/>
          <w:type w:val="nextPage"/>
          <w:pgSz w:w="11906" w:h="16838"/>
          <w:pgMar w:left="1134" w:right="709" w:gutter="0" w:header="0" w:top="709" w:footer="709" w:bottom="766"/>
          <w:pgNumType w:fmt="decimal"/>
          <w:formProt w:val="false"/>
          <w:textDirection w:val="lrTb"/>
          <w:docGrid w:type="default" w:linePitch="360" w:charSpace="0"/>
        </w:sectPr>
        <w:pStyle w:val="ConsPlusNormal1"/>
        <w:numPr>
          <w:ilvl w:val="0"/>
          <w:numId w:val="8"/>
        </w:numPr>
        <w:tabs>
          <w:tab w:val="clear" w:pos="709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 xml:space="preserve">Выполнение обследований и обмерных работ на объектах, подлежащих реконструкции, расширению и техническому перевооружению рассчитывается по соответствующим Справочникам и относится в </w:t>
      </w:r>
      <w:r>
        <w:rPr>
          <w:rFonts w:ascii="Times New Roman" w:hAnsi="Times New Roman"/>
          <w:color w:val="000000"/>
          <w:sz w:val="24"/>
          <w:szCs w:val="24"/>
          <w:shd w:fill="auto" w:val="clear"/>
        </w:rPr>
        <w:t>главу 1 ССРСС.</w:t>
      </w:r>
      <w:r>
        <w:rPr>
          <w:rFonts w:ascii="Times New Roman" w:hAnsi="Times New Roman"/>
          <w:sz w:val="24"/>
          <w:szCs w:val="24"/>
          <w:shd w:fill="auto" w:val="clear"/>
        </w:rPr>
        <w:t xml:space="preserve"> Стоимость данных работ не включается в расчет стоимости проведения государственной экспертизы.</w:t>
      </w:r>
    </w:p>
    <w:p>
      <w:pPr>
        <w:pStyle w:val="Normal"/>
        <w:spacing w:lineRule="auto" w:line="240" w:before="0" w:after="0"/>
        <w:ind w:left="5811" w:hanging="0"/>
        <w:rPr>
          <w:highlight w:val="none"/>
          <w:shd w:fill="auto" w:val="clear"/>
        </w:rPr>
      </w:pPr>
      <w:r>
        <w:rPr>
          <w:rFonts w:ascii="Times New Roman" w:hAnsi="Times New Roman"/>
          <w:sz w:val="20"/>
          <w:shd w:fill="auto" w:val="clear"/>
        </w:rPr>
        <w:t>Приложение № 1</w:t>
      </w:r>
    </w:p>
    <w:p>
      <w:pPr>
        <w:pStyle w:val="Normal"/>
        <w:spacing w:lineRule="auto" w:line="240" w:before="0" w:after="0"/>
        <w:ind w:left="5811" w:hanging="0"/>
        <w:rPr>
          <w:highlight w:val="none"/>
          <w:shd w:fill="auto" w:val="clear"/>
        </w:rPr>
      </w:pPr>
      <w:r>
        <w:rPr>
          <w:rFonts w:ascii="Times New Roman" w:hAnsi="Times New Roman"/>
          <w:sz w:val="20"/>
          <w:shd w:fill="auto" w:val="clear"/>
        </w:rPr>
        <w:t>к Требованиям к оформлению и составлению сметной документации на выполнение проектных и изыскательских работ</w:t>
      </w:r>
    </w:p>
    <w:p>
      <w:pPr>
        <w:pStyle w:val="Normal"/>
        <w:spacing w:lineRule="auto" w:line="240" w:before="0" w:after="0"/>
        <w:ind w:left="5811" w:hanging="0"/>
        <w:rPr>
          <w:rFonts w:ascii="Times New Roman" w:hAnsi="Times New Roman"/>
          <w:sz w:val="20"/>
          <w:highlight w:val="none"/>
          <w:shd w:fill="auto" w:val="clear"/>
        </w:rPr>
      </w:pPr>
      <w:r>
        <w:rPr>
          <w:rFonts w:ascii="Times New Roman" w:hAnsi="Times New Roman"/>
          <w:sz w:val="20"/>
          <w:shd w:fill="auto" w:val="clear"/>
        </w:rPr>
      </w:r>
    </w:p>
    <w:p>
      <w:pPr>
        <w:pStyle w:val="Normal"/>
        <w:spacing w:lineRule="auto" w:line="240" w:before="0" w:after="0"/>
        <w:ind w:left="5811" w:hanging="0"/>
        <w:jc w:val="center"/>
        <w:rPr>
          <w:rFonts w:ascii="Times New Roman" w:hAnsi="Times New Roman"/>
          <w:sz w:val="20"/>
          <w:highlight w:val="none"/>
          <w:shd w:fill="auto" w:val="clear"/>
        </w:rPr>
      </w:pPr>
      <w:r>
        <w:rPr>
          <w:rFonts w:ascii="Times New Roman" w:hAnsi="Times New Roman"/>
          <w:sz w:val="20"/>
          <w:shd w:fill="auto" w:val="clear"/>
        </w:rPr>
      </w:r>
    </w:p>
    <w:p>
      <w:pPr>
        <w:pStyle w:val="Normal"/>
        <w:spacing w:lineRule="auto" w:line="240" w:before="0" w:after="0"/>
        <w:ind w:left="5811" w:hanging="0"/>
        <w:rPr>
          <w:rFonts w:ascii="Times New Roman" w:hAnsi="Times New Roman"/>
          <w:sz w:val="20"/>
          <w:highlight w:val="none"/>
          <w:shd w:fill="auto" w:val="clear"/>
        </w:rPr>
      </w:pPr>
      <w:r>
        <w:rPr>
          <w:rFonts w:ascii="Times New Roman" w:hAnsi="Times New Roman"/>
          <w:sz w:val="20"/>
          <w:shd w:fill="auto" w:val="clear"/>
        </w:rPr>
      </w:r>
    </w:p>
    <w:p>
      <w:pPr>
        <w:pStyle w:val="Normal"/>
        <w:spacing w:lineRule="auto" w:line="240" w:before="0" w:after="0"/>
        <w:ind w:left="5811" w:hanging="0"/>
        <w:rPr>
          <w:rFonts w:ascii="Times New Roman" w:hAnsi="Times New Roman"/>
          <w:sz w:val="20"/>
          <w:highlight w:val="none"/>
          <w:shd w:fill="auto" w:val="clear"/>
        </w:rPr>
      </w:pPr>
      <w:r>
        <w:rPr>
          <w:rFonts w:ascii="Times New Roman" w:hAnsi="Times New Roman"/>
          <w:sz w:val="20"/>
          <w:shd w:fill="auto" w:val="clear"/>
        </w:rPr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b/>
          <w:color w:val="000000"/>
          <w:sz w:val="24"/>
          <w:szCs w:val="24"/>
          <w:shd w:fill="auto" w:val="clear"/>
        </w:rPr>
        <w:t xml:space="preserve">ПОЯСНИТЕЛЬНАЯ ЗАПИСКА </w:t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b/>
          <w:color w:val="000000"/>
          <w:sz w:val="24"/>
          <w:szCs w:val="24"/>
          <w:shd w:fill="auto" w:val="clear"/>
        </w:rPr>
        <w:t>по заполнению формы №3п</w:t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b/>
          <w:color w:val="000000"/>
          <w:sz w:val="24"/>
          <w:szCs w:val="24"/>
          <w:shd w:fill="auto" w:val="clear"/>
        </w:rPr>
        <w:t xml:space="preserve"> </w:t>
      </w:r>
      <w:r>
        <w:rPr>
          <w:rFonts w:ascii="Times New Roman" w:hAnsi="Times New Roman"/>
          <w:b/>
          <w:color w:val="000000"/>
          <w:sz w:val="24"/>
          <w:szCs w:val="24"/>
          <w:shd w:fill="auto" w:val="clear"/>
        </w:rPr>
        <w:t>при составлении смет на ПИР.</w:t>
      </w:r>
    </w:p>
    <w:p>
      <w:pPr>
        <w:pStyle w:val="Normal"/>
        <w:spacing w:lineRule="auto" w:line="240" w:before="0" w:after="0"/>
        <w:ind w:left="5811" w:hanging="0"/>
        <w:rPr>
          <w:rFonts w:ascii="Times New Roman" w:hAnsi="Times New Roman"/>
          <w:b/>
          <w:sz w:val="24"/>
          <w:szCs w:val="24"/>
          <w:highlight w:val="none"/>
          <w:shd w:fill="auto" w:val="clear"/>
        </w:rPr>
      </w:pPr>
      <w:r>
        <w:rPr>
          <w:rFonts w:ascii="Times New Roman" w:hAnsi="Times New Roman"/>
          <w:b/>
          <w:sz w:val="24"/>
          <w:szCs w:val="24"/>
          <w:shd w:fill="auto" w:val="clear"/>
        </w:rPr>
      </w:r>
    </w:p>
    <w:p>
      <w:pPr>
        <w:pStyle w:val="ListParagraph"/>
        <w:numPr>
          <w:ilvl w:val="0"/>
          <w:numId w:val="7"/>
        </w:numPr>
        <w:tabs>
          <w:tab w:val="clear" w:pos="709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bookmarkStart w:id="40" w:name="RANGE!A1%252525252525252525253AD25"/>
      <w:bookmarkEnd w:id="40"/>
      <w:r>
        <w:rPr>
          <w:rFonts w:ascii="Times New Roman" w:hAnsi="Times New Roman"/>
          <w:color w:val="000000"/>
          <w:sz w:val="24"/>
          <w:szCs w:val="24"/>
          <w:shd w:fill="auto" w:val="clear"/>
        </w:rPr>
        <w:t>При составлении калькуляции затрат (форма №3п), разработанным организацией, выполняющей ПИР, Заказчику предоставляется обоснование расчета. Сметные расчеты составляются в ценах текущего периода.</w:t>
      </w:r>
    </w:p>
    <w:p>
      <w:pPr>
        <w:pStyle w:val="ListParagraph"/>
        <w:numPr>
          <w:ilvl w:val="0"/>
          <w:numId w:val="7"/>
        </w:numPr>
        <w:tabs>
          <w:tab w:val="clear" w:pos="709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>Калькуляцией затрат (форма №3п) рекомендуется определять стоимость работ, цены на которые отсутствуют в МНЗ и СБЦ, внесенных в ФРСН.</w:t>
      </w:r>
    </w:p>
    <w:p>
      <w:pPr>
        <w:pStyle w:val="ListParagraph"/>
        <w:numPr>
          <w:ilvl w:val="0"/>
          <w:numId w:val="7"/>
        </w:numPr>
        <w:tabs>
          <w:tab w:val="clear" w:pos="709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>Стоимость работ и расходов в соответствии с калькуляцией затрат определяется согласно положениям Методики №707 с учетом следующего:</w:t>
      </w:r>
    </w:p>
    <w:p>
      <w:pPr>
        <w:pStyle w:val="ConsPlusNormal1"/>
        <w:numPr>
          <w:ilvl w:val="1"/>
          <w:numId w:val="7"/>
        </w:numPr>
        <w:tabs>
          <w:tab w:val="clear" w:pos="709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>Стоимость проектных работ и расходов (</w:t>
      </w:r>
      <w:r>
        <w:rPr/>
      </w:r>
      <m:oMath xmlns:m="http://schemas.openxmlformats.org/officeDocument/2006/math">
        <m:r>
          <m:rPr>
            <m:lit/>
            <m:nor/>
          </m:rPr>
          <w:rPr>
            <w:rFonts w:ascii="Cambria Math" w:hAnsi="Cambria Math"/>
          </w:rPr>
          <m:t xml:space="preserve">Спр</m:t>
        </m:r>
      </m:oMath>
      <w:r>
        <w:rPr>
          <w:rFonts w:cs="Times New Roman" w:ascii="Times New Roman" w:hAnsi="Times New Roman"/>
          <w:sz w:val="24"/>
          <w:szCs w:val="24"/>
          <w:shd w:fill="auto" w:val="clear"/>
        </w:rPr>
        <w:t>) в соответствии с калькуляцией затрат определяется по формуле:</w:t>
      </w:r>
    </w:p>
    <w:p>
      <w:pPr>
        <w:pStyle w:val="ConsPlusNormal1"/>
        <w:tabs>
          <w:tab w:val="clear" w:pos="709"/>
          <w:tab w:val="left" w:pos="0" w:leader="none"/>
          <w:tab w:val="left" w:pos="1134" w:leader="none"/>
        </w:tabs>
        <w:ind w:hanging="0"/>
        <w:jc w:val="center"/>
        <w:rPr>
          <w:highlight w:val="none"/>
          <w:shd w:fill="auto" w:val="clear"/>
        </w:rPr>
      </w:pPr>
      <w:r>
        <w:rPr/>
      </w:r>
      <m:oMathPara xmlns:m="http://schemas.openxmlformats.org/officeDocument/2006/math">
        <m:oMathParaPr>
          <m:jc m:val="center"/>
        </m:oMathParaPr>
        <m:oMath>
          <m:sSub>
            <m:e>
              <m:r>
                <w:rPr>
                  <w:rFonts w:ascii="Cambria Math" w:hAnsi="Cambria Math"/>
                </w:rPr>
                <m:t xml:space="preserve">С</m:t>
              </m:r>
            </m:e>
            <m:sub>
              <m:r>
                <w:rPr>
                  <w:rFonts w:ascii="Cambria Math" w:hAnsi="Cambria Math"/>
                </w:rPr>
                <m:t xml:space="preserve">пр</m:t>
              </m:r>
            </m:sub>
          </m:sSub>
          <m:r>
            <w:rPr>
              <w:rFonts w:ascii="Cambria Math" w:hAnsi="Cambria Math"/>
            </w:rPr>
            <m:t xml:space="preserve">=</m:t>
          </m:r>
          <m:sSub>
            <m:e>
              <m:r>
                <w:rPr>
                  <w:rFonts w:ascii="Cambria Math" w:hAnsi="Cambria Math"/>
                </w:rPr>
                <m:t xml:space="preserve">В</m:t>
              </m:r>
            </m:e>
            <m:sub>
              <m:r>
                <w:rPr>
                  <w:rFonts w:ascii="Cambria Math" w:hAnsi="Cambria Math"/>
                </w:rPr>
                <m:t xml:space="preserve">ср</m:t>
              </m:r>
            </m:sub>
          </m:sSub>
          <m:r>
            <w:rPr>
              <w:rFonts w:ascii="Cambria Math" w:hAnsi="Cambria Math"/>
            </w:rPr>
            <m:t xml:space="preserve">×</m:t>
          </m:r>
          <m:sSub>
            <m:e>
              <m:r>
                <w:rPr>
                  <w:rFonts w:ascii="Cambria Math" w:hAnsi="Cambria Math"/>
                </w:rPr>
                <m:t xml:space="preserve">Т</m:t>
              </m:r>
            </m:e>
            <m:sub>
              <m:r>
                <w:rPr>
                  <w:rFonts w:ascii="Cambria Math" w:hAnsi="Cambria Math"/>
                </w:rPr>
                <m:t xml:space="preserve">п</m:t>
              </m:r>
            </m:sub>
          </m:sSub>
          <m:r>
            <w:rPr>
              <w:rFonts w:ascii="Cambria Math" w:hAnsi="Cambria Math"/>
            </w:rPr>
            <m:t xml:space="preserve">×</m:t>
          </m:r>
          <m:sSub>
            <m:e>
              <m:r>
                <w:rPr>
                  <w:rFonts w:ascii="Cambria Math" w:hAnsi="Cambria Math"/>
                </w:rPr>
                <m:t xml:space="preserve">Ч</m:t>
              </m:r>
            </m:e>
            <m:sub>
              <m:r>
                <w:rPr>
                  <w:rFonts w:ascii="Cambria Math" w:hAnsi="Cambria Math"/>
                </w:rPr>
                <m:t xml:space="preserve">общ</m:t>
              </m:r>
            </m:sub>
          </m:sSub>
          <m:r>
            <w:rPr>
              <w:rFonts w:ascii="Cambria Math" w:hAnsi="Cambria Math"/>
            </w:rPr>
            <m:t xml:space="preserve">×</m:t>
          </m:r>
          <m:sSub>
            <m:e>
              <m:r>
                <w:rPr>
                  <w:rFonts w:ascii="Cambria Math" w:hAnsi="Cambria Math"/>
                </w:rPr>
                <m:t xml:space="preserve">К</m:t>
              </m:r>
            </m:e>
            <m:sub>
              <m:r>
                <w:rPr>
                  <w:rFonts w:ascii="Cambria Math" w:hAnsi="Cambria Math"/>
                </w:rPr>
                <m:t xml:space="preserve">кв</m:t>
              </m:r>
              <m:r>
                <w:rPr>
                  <w:rFonts w:ascii="Cambria Math" w:hAnsi="Cambria Math"/>
                </w:rPr>
                <m:t xml:space="preserve">−</m:t>
              </m:r>
              <m:r>
                <w:rPr>
                  <w:rFonts w:ascii="Cambria Math" w:hAnsi="Cambria Math"/>
                </w:rPr>
                <m:t xml:space="preserve">уч</m:t>
              </m:r>
            </m:sub>
          </m:sSub>
        </m:oMath>
      </m:oMathPara>
    </w:p>
    <w:p>
      <w:pPr>
        <w:pStyle w:val="ConsPlusNormal1"/>
        <w:tabs>
          <w:tab w:val="clear" w:pos="709"/>
          <w:tab w:val="left" w:pos="1134" w:leader="none"/>
        </w:tabs>
        <w:ind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>где:</w:t>
      </w:r>
    </w:p>
    <w:p>
      <w:pPr>
        <w:pStyle w:val="ConsPlusNormal1"/>
        <w:tabs>
          <w:tab w:val="clear" w:pos="709"/>
          <w:tab w:val="left" w:pos="1134" w:leader="none"/>
        </w:tabs>
        <w:ind w:firstLine="567"/>
        <w:jc w:val="both"/>
        <w:rPr>
          <w:highlight w:val="none"/>
          <w:shd w:fill="auto" w:val="clear"/>
        </w:rPr>
      </w:pPr>
      <w:r>
        <w:rPr/>
      </w:r>
      <m:oMath xmlns:m="http://schemas.openxmlformats.org/officeDocument/2006/math">
        <m:r>
          <m:rPr>
            <m:lit/>
            <m:nor/>
          </m:rPr>
          <w:rPr>
            <w:rFonts w:ascii="Cambria Math" w:hAnsi="Cambria Math"/>
          </w:rPr>
          <m:t xml:space="preserve">Спр</m:t>
        </m:r>
      </m:oMath>
      <w:r>
        <w:rPr>
          <w:rFonts w:cs="Times New Roman" w:ascii="Times New Roman" w:hAnsi="Times New Roman"/>
          <w:sz w:val="24"/>
          <w:szCs w:val="24"/>
          <w:shd w:fill="auto" w:val="clear"/>
          <w:vertAlign w:val="subscript"/>
        </w:rPr>
        <w:t xml:space="preserve"> </w:t>
      </w:r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 </w:t>
      </w:r>
      <w:r>
        <w:rPr>
          <w:rFonts w:cs="Times New Roman" w:ascii="Times New Roman" w:hAnsi="Times New Roman"/>
          <w:sz w:val="24"/>
          <w:szCs w:val="24"/>
          <w:shd w:fill="auto" w:val="clear"/>
        </w:rPr>
        <w:t>- стоимость проектных работ, определенная в соответствии с калькуляцией затрат, рублей;</w:t>
      </w:r>
    </w:p>
    <w:p>
      <w:pPr>
        <w:pStyle w:val="ConsPlusNormal1"/>
        <w:tabs>
          <w:tab w:val="clear" w:pos="709"/>
          <w:tab w:val="left" w:pos="1134" w:leader="none"/>
        </w:tabs>
        <w:ind w:firstLine="567"/>
        <w:jc w:val="both"/>
        <w:rPr>
          <w:highlight w:val="none"/>
          <w:shd w:fill="auto" w:val="clear"/>
        </w:rPr>
      </w:pPr>
      <w:r>
        <w:rPr/>
      </w:r>
      <m:oMath xmlns:m="http://schemas.openxmlformats.org/officeDocument/2006/math">
        <m:r>
          <m:rPr>
            <m:lit/>
            <m:nor/>
          </m:rPr>
          <w:rPr>
            <w:rFonts w:ascii="Cambria Math" w:hAnsi="Cambria Math"/>
          </w:rPr>
          <m:t xml:space="preserve">Вср</m:t>
        </m:r>
      </m:oMath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 </w:t>
      </w:r>
      <w:r>
        <w:rPr>
          <w:rFonts w:cs="Times New Roman" w:ascii="Times New Roman" w:hAnsi="Times New Roman"/>
          <w:sz w:val="24"/>
          <w:szCs w:val="24"/>
          <w:shd w:fill="auto" w:val="clear"/>
        </w:rPr>
        <w:t>- среднедневная выработка одного непосредственного исполнителя, рублей;</w:t>
      </w:r>
    </w:p>
    <w:p>
      <w:pPr>
        <w:pStyle w:val="ConsPlusNormal1"/>
        <w:tabs>
          <w:tab w:val="clear" w:pos="709"/>
          <w:tab w:val="left" w:pos="1134" w:leader="none"/>
        </w:tabs>
        <w:ind w:firstLine="567"/>
        <w:jc w:val="both"/>
        <w:rPr>
          <w:highlight w:val="none"/>
          <w:shd w:fill="auto" w:val="clear"/>
        </w:rPr>
      </w:pPr>
      <w:r>
        <w:rPr/>
      </w:r>
      <m:oMath xmlns:m="http://schemas.openxmlformats.org/officeDocument/2006/math">
        <m:r>
          <m:rPr>
            <m:lit/>
            <m:nor/>
          </m:rPr>
          <w:rPr>
            <w:rFonts w:ascii="Cambria Math" w:hAnsi="Cambria Math"/>
          </w:rPr>
          <m:t xml:space="preserve">Тп</m:t>
        </m:r>
      </m:oMath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 </w:t>
      </w:r>
      <w:r>
        <w:rPr>
          <w:rFonts w:cs="Times New Roman" w:ascii="Times New Roman" w:hAnsi="Times New Roman"/>
          <w:sz w:val="24"/>
          <w:szCs w:val="24"/>
          <w:shd w:fill="auto" w:val="clear"/>
        </w:rPr>
        <w:t>- плановая продолжительность выполнения проектных работ, предусмотренных калькуляцией затрат, дни;</w:t>
      </w:r>
    </w:p>
    <w:p>
      <w:pPr>
        <w:pStyle w:val="ConsPlusNormal1"/>
        <w:tabs>
          <w:tab w:val="clear" w:pos="709"/>
          <w:tab w:val="left" w:pos="1134" w:leader="none"/>
        </w:tabs>
        <w:ind w:firstLine="567"/>
        <w:jc w:val="both"/>
        <w:rPr>
          <w:highlight w:val="none"/>
          <w:shd w:fill="auto" w:val="clear"/>
        </w:rPr>
      </w:pPr>
      <w:r>
        <w:rPr/>
      </w:r>
      <m:oMath xmlns:m="http://schemas.openxmlformats.org/officeDocument/2006/math">
        <m:r>
          <m:rPr>
            <m:lit/>
            <m:nor/>
          </m:rPr>
          <w:rPr>
            <w:rFonts w:ascii="Cambria Math" w:hAnsi="Cambria Math"/>
          </w:rPr>
          <m:t xml:space="preserve">Чобщ</m:t>
        </m:r>
      </m:oMath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 </w:t>
      </w:r>
      <w:r>
        <w:rPr>
          <w:rFonts w:cs="Times New Roman" w:ascii="Times New Roman" w:hAnsi="Times New Roman"/>
          <w:sz w:val="24"/>
          <w:szCs w:val="24"/>
          <w:shd w:fill="auto" w:val="clear"/>
        </w:rPr>
        <w:t>- общая численность непосредственных исполнителей-проектировщиков, занятых в выполнении проектных работ, предусмотренных калькуляцией затрат, чел.;</w:t>
      </w:r>
    </w:p>
    <w:p>
      <w:pPr>
        <w:pStyle w:val="ConsPlusNormal1"/>
        <w:tabs>
          <w:tab w:val="clear" w:pos="709"/>
          <w:tab w:val="left" w:pos="1134" w:leader="none"/>
        </w:tabs>
        <w:ind w:firstLine="567"/>
        <w:jc w:val="both"/>
        <w:rPr>
          <w:highlight w:val="none"/>
          <w:shd w:fill="auto" w:val="clear"/>
        </w:rPr>
      </w:pPr>
      <w:r>
        <w:rPr/>
      </w:r>
      <m:oMath xmlns:m="http://schemas.openxmlformats.org/officeDocument/2006/math">
        <m:r>
          <m:rPr>
            <m:lit/>
            <m:nor/>
          </m:rPr>
          <w:rPr>
            <w:rFonts w:ascii="Cambria Math" w:hAnsi="Cambria Math"/>
          </w:rPr>
          <m:t xml:space="preserve">Ккв-уч</m:t>
        </m:r>
      </m:oMath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 </w:t>
      </w:r>
      <w:r>
        <w:rPr>
          <w:rFonts w:cs="Times New Roman" w:ascii="Times New Roman" w:hAnsi="Times New Roman"/>
          <w:sz w:val="24"/>
          <w:szCs w:val="24"/>
          <w:shd w:fill="auto" w:val="clear"/>
        </w:rPr>
        <w:t>- корректирующий коэффициент, учитывающий степень участия исполнителей различной квалификации в выполнении проектных работ, предусмотренных калькуляцией затрат (далее - коэффициент квалификации-участия);</w:t>
      </w:r>
    </w:p>
    <w:p>
      <w:pPr>
        <w:pStyle w:val="ConsPlusNormal1"/>
        <w:numPr>
          <w:ilvl w:val="1"/>
          <w:numId w:val="7"/>
        </w:numPr>
        <w:tabs>
          <w:tab w:val="clear" w:pos="709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>среднедневная выработка (</w:t>
      </w:r>
      <w:r>
        <w:rPr/>
      </w:r>
      <m:oMath xmlns:m="http://schemas.openxmlformats.org/officeDocument/2006/math">
        <m:r>
          <w:rPr>
            <w:rFonts w:ascii="Cambria Math" w:hAnsi="Cambria Math"/>
          </w:rPr>
          <m:t xml:space="preserve">В</m:t>
        </m:r>
        <m:r>
          <m:rPr>
            <m:lit/>
            <m:nor/>
          </m:rPr>
          <w:rPr>
            <w:rFonts w:ascii="Cambria Math" w:hAnsi="Cambria Math"/>
          </w:rPr>
          <m:t xml:space="preserve">ср</m:t>
        </m:r>
      </m:oMath>
      <w:r>
        <w:rPr>
          <w:rFonts w:cs="Times New Roman" w:ascii="Times New Roman" w:hAnsi="Times New Roman"/>
          <w:sz w:val="24"/>
          <w:szCs w:val="24"/>
          <w:shd w:fill="auto" w:val="clear"/>
        </w:rPr>
        <w:t>) определяется по формуле:</w:t>
      </w:r>
    </w:p>
    <w:p>
      <w:pPr>
        <w:pStyle w:val="ConsPlusNormal1"/>
        <w:tabs>
          <w:tab w:val="clear" w:pos="709"/>
          <w:tab w:val="left" w:pos="1134" w:leader="none"/>
        </w:tabs>
        <w:ind w:hanging="0"/>
        <w:jc w:val="both"/>
        <w:rPr>
          <w:rFonts w:ascii="Times New Roman" w:hAnsi="Times New Roman" w:cs="Times New Roman"/>
          <w:sz w:val="24"/>
          <w:szCs w:val="24"/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</w:r>
    </w:p>
    <w:p>
      <w:pPr>
        <w:pStyle w:val="ConsPlusNormal1"/>
        <w:tabs>
          <w:tab w:val="clear" w:pos="709"/>
          <w:tab w:val="left" w:pos="0" w:leader="none"/>
          <w:tab w:val="left" w:pos="1134" w:leader="none"/>
        </w:tabs>
        <w:ind w:hanging="0"/>
        <w:jc w:val="center"/>
        <w:rPr>
          <w:highlight w:val="none"/>
          <w:shd w:fill="auto" w:val="clear"/>
        </w:rPr>
      </w:pPr>
      <w:r>
        <w:rPr/>
      </w:r>
      <m:oMathPara xmlns:m="http://schemas.openxmlformats.org/officeDocument/2006/math">
        <m:oMathParaPr>
          <m:jc m:val="center"/>
        </m:oMathParaPr>
        <m:oMath>
          <m:sSub>
            <m:e>
              <m:r>
                <w:rPr>
                  <w:rFonts w:ascii="Cambria Math" w:hAnsi="Cambria Math"/>
                </w:rPr>
                <m:t xml:space="preserve">В</m:t>
              </m:r>
            </m:e>
            <m:sub>
              <m:r>
                <w:rPr>
                  <w:rFonts w:ascii="Cambria Math" w:hAnsi="Cambria Math"/>
                </w:rPr>
                <m:t xml:space="preserve">ср</m:t>
              </m:r>
            </m:sub>
          </m:sSub>
          <m:r>
            <w:rPr>
              <w:rFonts w:ascii="Cambria Math" w:hAnsi="Cambria Math"/>
            </w:rPr>
            <m:t xml:space="preserve">=</m:t>
          </m:r>
          <m:f>
            <m:num>
              <m:sSub>
                <m:e>
                  <m:r>
                    <w:rPr>
                      <w:rFonts w:ascii="Cambria Math" w:hAnsi="Cambria Math"/>
                    </w:rPr>
                    <m:t xml:space="preserve">ЗП</m:t>
                  </m:r>
                </m:e>
                <m:sub>
                  <m:r>
                    <w:rPr>
                      <w:rFonts w:ascii="Cambria Math" w:hAnsi="Cambria Math"/>
                    </w:rPr>
                    <m:t xml:space="preserve">ср</m:t>
                  </m:r>
                </m:sub>
              </m:sSub>
              <m:r>
                <w:rPr>
                  <w:rFonts w:ascii="Cambria Math" w:hAnsi="Cambria Math"/>
                </w:rPr>
                <m:t xml:space="preserve">×</m:t>
              </m:r>
              <m:d>
                <m:dPr>
                  <m:begChr m:val="("/>
                  <m:endChr m:val=")"/>
                </m:dPr>
                <m:e>
                  <m:r>
                    <w:rPr>
                      <w:rFonts w:ascii="Cambria Math" w:hAnsi="Cambria Math"/>
                    </w:rPr>
                    <m:t xml:space="preserve">1</m:t>
                  </m:r>
                  <m:r>
                    <w:rPr>
                      <w:rFonts w:ascii="Cambria Math" w:hAnsi="Cambria Math"/>
                    </w:rPr>
                    <m:t xml:space="preserve">+</m:t>
                  </m:r>
                  <m:r>
                    <w:rPr>
                      <w:rFonts w:ascii="Cambria Math" w:hAnsi="Cambria Math"/>
                    </w:rPr>
                    <m:t xml:space="preserve">Р</m:t>
                  </m:r>
                </m:e>
              </m:d>
            </m:num>
            <m:den>
              <m:sSub>
                <m:e>
                  <m:r>
                    <w:rPr>
                      <w:rFonts w:ascii="Cambria Math" w:hAnsi="Cambria Math"/>
                    </w:rPr>
                    <m:t xml:space="preserve">К</m:t>
                  </m:r>
                </m:e>
                <m:sub>
                  <m:r>
                    <w:rPr>
                      <w:rFonts w:ascii="Cambria Math" w:hAnsi="Cambria Math"/>
                    </w:rPr>
                    <m:t xml:space="preserve">з</m:t>
                  </m:r>
                </m:sub>
              </m:sSub>
            </m:den>
          </m:f>
        </m:oMath>
      </m:oMathPara>
    </w:p>
    <w:p>
      <w:pPr>
        <w:pStyle w:val="ConsPlusNormal1"/>
        <w:tabs>
          <w:tab w:val="clear" w:pos="709"/>
          <w:tab w:val="left" w:pos="1134" w:leader="none"/>
        </w:tabs>
        <w:ind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>где:</w:t>
      </w:r>
    </w:p>
    <w:p>
      <w:pPr>
        <w:pStyle w:val="ConsPlusNormal1"/>
        <w:tabs>
          <w:tab w:val="clear" w:pos="709"/>
          <w:tab w:val="left" w:pos="1134" w:leader="none"/>
        </w:tabs>
        <w:ind w:firstLine="567"/>
        <w:jc w:val="both"/>
        <w:rPr/>
      </w:pPr>
      <w:r>
        <w:rPr/>
      </w:r>
      <m:oMath xmlns:m="http://schemas.openxmlformats.org/officeDocument/2006/math">
        <m:r>
          <w:rPr>
            <w:rFonts w:ascii="Cambria Math" w:hAnsi="Cambria Math"/>
          </w:rPr>
          <m:t xml:space="preserve">Р</m:t>
        </m:r>
      </m:oMath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 </w:t>
      </w:r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- коэффициент уровня рентабельности (сметной прибыли), принимается Р = 0,1 (1%) согласно </w:t>
      </w:r>
      <w:hyperlink w:anchor="P1643">
        <w:r>
          <w:rPr>
            <w:rStyle w:val="Hyperlink"/>
            <w:rFonts w:cs="Times New Roman" w:ascii="Times New Roman" w:hAnsi="Times New Roman"/>
            <w:sz w:val="24"/>
            <w:szCs w:val="24"/>
            <w:shd w:fill="auto" w:val="clear"/>
          </w:rPr>
          <w:t>таблице 1.2</w:t>
        </w:r>
      </w:hyperlink>
      <w:r>
        <w:rPr>
          <w:rFonts w:cs="Times New Roman" w:ascii="Times New Roman" w:hAnsi="Times New Roman"/>
          <w:sz w:val="24"/>
          <w:szCs w:val="24"/>
          <w:shd w:fill="auto" w:val="clear"/>
        </w:rPr>
        <w:t>, приведенной в приложении N 2 к Методике №707;</w:t>
      </w:r>
    </w:p>
    <w:p>
      <w:pPr>
        <w:pStyle w:val="ConsPlusNormal1"/>
        <w:tabs>
          <w:tab w:val="clear" w:pos="709"/>
          <w:tab w:val="left" w:pos="1134" w:leader="none"/>
        </w:tabs>
        <w:ind w:firstLine="567"/>
        <w:jc w:val="both"/>
        <w:rPr/>
      </w:pPr>
      <w:r>
        <w:rPr/>
      </w:r>
      <m:oMath xmlns:m="http://schemas.openxmlformats.org/officeDocument/2006/math">
        <m:r>
          <w:rPr>
            <w:rFonts w:ascii="Cambria Math" w:hAnsi="Cambria Math"/>
          </w:rPr>
          <m:t xml:space="preserve">ЗП</m:t>
        </m:r>
        <m:r>
          <m:rPr>
            <m:lit/>
            <m:nor/>
          </m:rPr>
          <w:rPr>
            <w:rFonts w:ascii="Cambria Math" w:hAnsi="Cambria Math"/>
          </w:rPr>
          <m:t xml:space="preserve">ср</m:t>
        </m:r>
      </m:oMath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 </w:t>
      </w:r>
      <w:r>
        <w:rPr>
          <w:rFonts w:cs="Times New Roman" w:ascii="Times New Roman" w:hAnsi="Times New Roman"/>
          <w:sz w:val="24"/>
          <w:szCs w:val="24"/>
          <w:shd w:fill="auto" w:val="clear"/>
        </w:rPr>
        <w:t>- среднедневная заработная плата, тыс. руб. Принимается по данным Росстата о среднемесячной номинальной начисленной заработной плате работающих в экономике, по видам экономической деятельности в Российской Федерации для деятельности в области архитектуры (</w:t>
      </w:r>
      <w:hyperlink r:id="rId22">
        <w:r>
          <w:rPr>
            <w:rStyle w:val="Hyperlink"/>
            <w:rFonts w:cs="Times New Roman" w:ascii="Times New Roman" w:hAnsi="Times New Roman"/>
            <w:sz w:val="24"/>
            <w:szCs w:val="24"/>
            <w:shd w:fill="auto" w:val="clear"/>
          </w:rPr>
          <w:t>код 71.11</w:t>
        </w:r>
      </w:hyperlink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 согласно ОК 029-2014 (КДЕС ред. 2) "Общероссийский классификатор видов экономической деятельности" (далее - Общероссийский классификатор) за год, предшествующий году определения сметной стоимости объекта проектирования (среднее значение за период январь - декабрь), исходя из усредненного на основании производственного календаря количества рабочих дней в месяце для года, предшествующего году определения сметной стоимости проектных работ и с учетом Классификатора объектов административно-территориального деления (ОКАТО) Проектной организации. Для работ по проектированию объектов, являющихся особо опасными, технически сложными, уникальными объектами согласно </w:t>
      </w:r>
      <w:hyperlink r:id="rId23">
        <w:r>
          <w:rPr>
            <w:rStyle w:val="Hyperlink"/>
            <w:rFonts w:cs="Times New Roman" w:ascii="Times New Roman" w:hAnsi="Times New Roman"/>
            <w:sz w:val="24"/>
            <w:szCs w:val="24"/>
            <w:shd w:fill="auto" w:val="clear"/>
          </w:rPr>
          <w:t>статье 48.1</w:t>
        </w:r>
      </w:hyperlink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 Градостроительного кодекса Российской Федерации, а также для работ по подготовке проектной документации, содержащей материалы в форме информационной модели, среднемесячная заработная плата принимается для деятельности в области инженерно-технического проектирования (</w:t>
      </w:r>
      <w:hyperlink r:id="rId24">
        <w:r>
          <w:rPr>
            <w:rStyle w:val="Hyperlink"/>
            <w:rFonts w:cs="Times New Roman" w:ascii="Times New Roman" w:hAnsi="Times New Roman"/>
            <w:sz w:val="24"/>
            <w:szCs w:val="24"/>
            <w:shd w:fill="auto" w:val="clear"/>
          </w:rPr>
          <w:t>код 71.12</w:t>
        </w:r>
      </w:hyperlink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 согласно ОК 029-2014 (КДЕС ред. 2) Общероссийского классификатора)</w:t>
      </w:r>
      <w:r>
        <w:rPr>
          <w:rStyle w:val="FootnoteReference"/>
          <w:rFonts w:cs="Times New Roman" w:ascii="Times New Roman" w:hAnsi="Times New Roman"/>
          <w:sz w:val="24"/>
          <w:szCs w:val="24"/>
          <w:shd w:fill="auto" w:val="clear"/>
        </w:rPr>
        <w:footnoteReference w:id="2"/>
      </w:r>
      <w:r>
        <w:rPr>
          <w:rFonts w:cs="Times New Roman" w:ascii="Times New Roman" w:hAnsi="Times New Roman"/>
          <w:sz w:val="24"/>
          <w:szCs w:val="24"/>
          <w:shd w:fill="auto" w:val="clear"/>
        </w:rPr>
        <w:t>;</w:t>
      </w:r>
    </w:p>
    <w:p>
      <w:pPr>
        <w:pStyle w:val="ConsPlusNormal1"/>
        <w:tabs>
          <w:tab w:val="clear" w:pos="709"/>
          <w:tab w:val="left" w:pos="1134" w:leader="none"/>
        </w:tabs>
        <w:ind w:firstLine="567"/>
        <w:jc w:val="both"/>
        <w:rPr>
          <w:highlight w:val="none"/>
          <w:shd w:fill="auto" w:val="clear"/>
        </w:rPr>
      </w:pPr>
      <w:r>
        <w:rPr/>
      </w:r>
      <m:oMath xmlns:m="http://schemas.openxmlformats.org/officeDocument/2006/math">
        <m:r>
          <w:rPr>
            <w:rFonts w:ascii="Cambria Math" w:hAnsi="Cambria Math"/>
          </w:rPr>
          <m:t xml:space="preserve">К</m:t>
        </m:r>
        <m:r>
          <w:rPr>
            <w:rFonts w:ascii="Cambria Math" w:hAnsi="Cambria Math"/>
          </w:rPr>
          <m:t xml:space="preserve">з</m:t>
        </m:r>
      </m:oMath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 </w:t>
      </w:r>
      <w:r>
        <w:rPr>
          <w:rFonts w:cs="Times New Roman" w:ascii="Times New Roman" w:hAnsi="Times New Roman"/>
          <w:sz w:val="24"/>
          <w:szCs w:val="24"/>
          <w:shd w:fill="auto" w:val="clear"/>
        </w:rPr>
        <w:t>- коэффициент, учитывающий долю оплаты труда производственного персонала в себестоимости проектных работ: К3 принимается в размере 40,06%;</w:t>
      </w:r>
    </w:p>
    <w:p>
      <w:pPr>
        <w:pStyle w:val="ConsPlusNormal1"/>
        <w:numPr>
          <w:ilvl w:val="1"/>
          <w:numId w:val="7"/>
        </w:numPr>
        <w:tabs>
          <w:tab w:val="clear" w:pos="709"/>
          <w:tab w:val="left" w:pos="1134" w:leader="none"/>
        </w:tabs>
        <w:ind w:left="0"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>коэффициент, квалификации-участия (</w:t>
      </w:r>
      <w:r>
        <w:rPr/>
      </w:r>
      <m:oMath xmlns:m="http://schemas.openxmlformats.org/officeDocument/2006/math">
        <m:sSub>
          <m:e>
            <m:r>
              <w:rPr>
                <w:rFonts w:ascii="Cambria Math" w:hAnsi="Cambria Math"/>
              </w:rPr>
              <m:t xml:space="preserve">К</m:t>
            </m:r>
          </m:e>
          <m:sub>
            <m:r>
              <w:rPr>
                <w:rFonts w:ascii="Cambria Math" w:hAnsi="Cambria Math"/>
              </w:rPr>
              <m:t xml:space="preserve">кв</m:t>
            </m:r>
            <m:r>
              <w:rPr>
                <w:rFonts w:ascii="Cambria Math" w:hAnsi="Cambria Math"/>
              </w:rPr>
              <m:t xml:space="preserve">−</m:t>
            </m:r>
            <m:r>
              <w:rPr>
                <w:rFonts w:ascii="Cambria Math" w:hAnsi="Cambria Math"/>
              </w:rPr>
              <m:t xml:space="preserve">уч</m:t>
            </m:r>
          </m:sub>
        </m:sSub>
      </m:oMath>
      <w:r>
        <w:rPr>
          <w:rFonts w:cs="Times New Roman" w:ascii="Times New Roman" w:hAnsi="Times New Roman"/>
          <w:sz w:val="24"/>
          <w:szCs w:val="24"/>
          <w:shd w:fill="auto" w:val="clear"/>
        </w:rPr>
        <w:t>), определяется по формуле:</w:t>
      </w:r>
    </w:p>
    <w:p>
      <w:pPr>
        <w:pStyle w:val="ConsPlusNormal1"/>
        <w:tabs>
          <w:tab w:val="clear" w:pos="709"/>
          <w:tab w:val="left" w:pos="1134" w:leader="none"/>
        </w:tabs>
        <w:ind w:hanging="0"/>
        <w:jc w:val="both"/>
        <w:rPr>
          <w:rFonts w:ascii="Times New Roman" w:hAnsi="Times New Roman" w:cs="Times New Roman"/>
          <w:sz w:val="24"/>
          <w:szCs w:val="24"/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</w:r>
    </w:p>
    <w:p>
      <w:pPr>
        <w:pStyle w:val="ConsPlusNormal1"/>
        <w:tabs>
          <w:tab w:val="clear" w:pos="709"/>
          <w:tab w:val="left" w:pos="1134" w:leader="none"/>
        </w:tabs>
        <w:ind w:hanging="0"/>
        <w:jc w:val="center"/>
        <w:rPr>
          <w:highlight w:val="none"/>
          <w:shd w:fill="auto" w:val="clear"/>
        </w:rPr>
      </w:pPr>
      <w:r>
        <w:rPr/>
      </w:r>
      <m:oMathPara xmlns:m="http://schemas.openxmlformats.org/officeDocument/2006/math">
        <m:oMathParaPr>
          <m:jc m:val="center"/>
        </m:oMathParaPr>
        <m:oMath>
          <m:sSub>
            <m:e>
              <m:r>
                <w:rPr>
                  <w:rFonts w:ascii="Cambria Math" w:hAnsi="Cambria Math"/>
                </w:rPr>
                <m:t xml:space="preserve">К</m:t>
              </m:r>
            </m:e>
            <m:sub>
              <m:r>
                <w:rPr>
                  <w:rFonts w:ascii="Cambria Math" w:hAnsi="Cambria Math"/>
                </w:rPr>
                <m:t xml:space="preserve">кв</m:t>
              </m:r>
              <m:r>
                <w:rPr>
                  <w:rFonts w:ascii="Cambria Math" w:hAnsi="Cambria Math"/>
                </w:rPr>
                <m:t xml:space="preserve">−</m:t>
              </m:r>
              <m:r>
                <w:rPr>
                  <w:rFonts w:ascii="Cambria Math" w:hAnsi="Cambria Math"/>
                </w:rPr>
                <m:t xml:space="preserve">уч</m:t>
              </m:r>
            </m:sub>
          </m:sSub>
          <m:r>
            <w:rPr>
              <w:rFonts w:ascii="Cambria Math" w:hAnsi="Cambria Math"/>
            </w:rPr>
            <m:t xml:space="preserve">=</m:t>
          </m:r>
          <m:f>
            <m:num>
              <m:nary>
                <m:naryPr>
                  <m:chr m:val="∑"/>
                </m:naryPr>
                <m:sub>
                  <m:r>
                    <w:rPr>
                      <w:rFonts w:ascii="Cambria Math" w:hAnsi="Cambria Math"/>
                    </w:rPr>
                    <m:t xml:space="preserve">i</m:t>
                  </m:r>
                  <m:r>
                    <w:rPr>
                      <w:rFonts w:ascii="Cambria Math" w:hAnsi="Cambria Math"/>
                    </w:rPr>
                    <m:t xml:space="preserve">=</m:t>
                  </m:r>
                  <m:r>
                    <w:rPr>
                      <w:rFonts w:ascii="Cambria Math" w:hAnsi="Cambria Math"/>
                    </w:rPr>
                    <m:t xml:space="preserve">1</m:t>
                  </m:r>
                </m:sub>
                <m:sup>
                  <m:r>
                    <w:rPr>
                      <w:rFonts w:ascii="Cambria Math" w:hAnsi="Cambria Math"/>
                    </w:rPr>
                    <m:t xml:space="preserve">n</m:t>
                  </m:r>
                </m:sup>
                <m:e>
                  <m:f>
                    <m:num>
                      <m:sSub>
                        <m:e>
                          <m:r>
                            <w:rPr>
                              <w:rFonts w:ascii="Cambria Math" w:hAnsi="Cambria Math"/>
                            </w:rPr>
                            <m:t xml:space="preserve">T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 xml:space="preserve">ф</m:t>
                          </m:r>
                          <m:r>
                            <w:rPr>
                              <w:rFonts w:ascii="Cambria Math" w:hAnsi="Cambria Math"/>
                            </w:rPr>
                            <m:t xml:space="preserve">i</m:t>
                          </m:r>
                        </m:sub>
                      </m:sSub>
                    </m:num>
                    <m:den>
                      <m:sSub>
                        <m:e>
                          <m:r>
                            <w:rPr>
                              <w:rFonts w:ascii="Cambria Math" w:hAnsi="Cambria Math"/>
                            </w:rPr>
                            <m:t xml:space="preserve">Т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 xml:space="preserve">общ</m:t>
                          </m:r>
                        </m:sub>
                      </m:sSub>
                    </m:den>
                  </m:f>
                </m:e>
              </m:nary>
              <m:r>
                <w:rPr>
                  <w:rFonts w:ascii="Cambria Math" w:hAnsi="Cambria Math"/>
                </w:rPr>
                <m:t xml:space="preserve">×</m:t>
              </m:r>
              <m:sSub>
                <m:e>
                  <m:r>
                    <w:rPr>
                      <w:rFonts w:ascii="Cambria Math" w:hAnsi="Cambria Math"/>
                    </w:rPr>
                    <m:t xml:space="preserve">Ч</m:t>
                  </m:r>
                </m:e>
                <m:sub>
                  <m:r>
                    <w:rPr>
                      <w:rFonts w:ascii="Cambria Math" w:hAnsi="Cambria Math"/>
                    </w:rPr>
                    <m:t xml:space="preserve">i</m:t>
                  </m:r>
                </m:sub>
              </m:sSub>
              <m:r>
                <w:rPr>
                  <w:rFonts w:ascii="Cambria Math" w:hAnsi="Cambria Math"/>
                </w:rPr>
                <m:t xml:space="preserve">×</m:t>
              </m:r>
              <m:sSub>
                <m:e>
                  <m:r>
                    <w:rPr>
                      <w:rFonts w:ascii="Cambria Math" w:hAnsi="Cambria Math"/>
                    </w:rPr>
                    <m:t xml:space="preserve">И</m:t>
                  </m:r>
                </m:e>
                <m:sub>
                  <m:r>
                    <w:rPr>
                      <w:rFonts w:ascii="Cambria Math" w:hAnsi="Cambria Math"/>
                    </w:rPr>
                    <m:t xml:space="preserve">i</m:t>
                  </m:r>
                </m:sub>
              </m:sSub>
            </m:num>
            <m:den>
              <m:sSub>
                <m:e>
                  <m:r>
                    <w:rPr>
                      <w:rFonts w:ascii="Cambria Math" w:hAnsi="Cambria Math"/>
                    </w:rPr>
                    <m:t xml:space="preserve">Ч</m:t>
                  </m:r>
                </m:e>
                <m:sub>
                  <m:r>
                    <w:rPr>
                      <w:rFonts w:ascii="Cambria Math" w:hAnsi="Cambria Math"/>
                    </w:rPr>
                    <m:t xml:space="preserve">общ</m:t>
                  </m:r>
                </m:sub>
              </m:sSub>
            </m:den>
          </m:f>
        </m:oMath>
      </m:oMathPara>
    </w:p>
    <w:p>
      <w:pPr>
        <w:pStyle w:val="ConsPlusNormal1"/>
        <w:tabs>
          <w:tab w:val="clear" w:pos="709"/>
          <w:tab w:val="left" w:pos="1134" w:leader="none"/>
        </w:tabs>
        <w:ind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>где:</w:t>
      </w:r>
    </w:p>
    <w:p>
      <w:pPr>
        <w:pStyle w:val="ConsPlusNormal1"/>
        <w:tabs>
          <w:tab w:val="clear" w:pos="709"/>
          <w:tab w:val="left" w:pos="1134" w:leader="none"/>
        </w:tabs>
        <w:ind w:firstLine="567"/>
        <w:jc w:val="both"/>
        <w:rPr/>
      </w:pPr>
      <w:r>
        <w:rPr/>
      </w:r>
      <m:oMath xmlns:m="http://schemas.openxmlformats.org/officeDocument/2006/math">
        <m:sSub>
          <m:e>
            <m:r>
              <w:rPr>
                <w:rFonts w:ascii="Cambria Math" w:hAnsi="Cambria Math"/>
              </w:rPr>
              <m:t xml:space="preserve">И</m:t>
            </m:r>
          </m:e>
          <m:sub>
            <m:r>
              <w:rPr>
                <w:rFonts w:ascii="Cambria Math" w:hAnsi="Cambria Math"/>
              </w:rPr>
              <m:t xml:space="preserve">i</m:t>
            </m:r>
          </m:sub>
        </m:sSub>
      </m:oMath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 </w:t>
      </w:r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- индекс квалификации непосредственных исполнителей согласно </w:t>
      </w:r>
      <w:hyperlink w:anchor="P1654">
        <w:r>
          <w:rPr>
            <w:rStyle w:val="Hyperlink"/>
            <w:rFonts w:cs="Times New Roman" w:ascii="Times New Roman" w:hAnsi="Times New Roman"/>
            <w:sz w:val="24"/>
            <w:szCs w:val="24"/>
            <w:shd w:fill="auto" w:val="clear"/>
          </w:rPr>
          <w:t>таблицам 1.3</w:t>
        </w:r>
      </w:hyperlink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 - </w:t>
      </w:r>
      <w:hyperlink w:anchor="P1701">
        <w:r>
          <w:rPr>
            <w:rStyle w:val="Hyperlink"/>
            <w:rFonts w:cs="Times New Roman" w:ascii="Times New Roman" w:hAnsi="Times New Roman"/>
            <w:sz w:val="24"/>
            <w:szCs w:val="24"/>
            <w:shd w:fill="auto" w:val="clear"/>
          </w:rPr>
          <w:t>1.4</w:t>
        </w:r>
      </w:hyperlink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, приведенным в приложении N 2 к Методике №707. Для отдельных отраслей индексы, приведенные в </w:t>
      </w:r>
      <w:hyperlink w:anchor="P1654">
        <w:r>
          <w:rPr>
            <w:rStyle w:val="Hyperlink"/>
            <w:rFonts w:cs="Times New Roman" w:ascii="Times New Roman" w:hAnsi="Times New Roman"/>
            <w:sz w:val="24"/>
            <w:szCs w:val="24"/>
            <w:shd w:fill="auto" w:val="clear"/>
          </w:rPr>
          <w:t>таблицах 1.3</w:t>
        </w:r>
      </w:hyperlink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 - </w:t>
      </w:r>
      <w:hyperlink w:anchor="P1701">
        <w:r>
          <w:rPr>
            <w:rStyle w:val="Hyperlink"/>
            <w:rFonts w:cs="Times New Roman" w:ascii="Times New Roman" w:hAnsi="Times New Roman"/>
            <w:sz w:val="24"/>
            <w:szCs w:val="24"/>
            <w:shd w:fill="auto" w:val="clear"/>
          </w:rPr>
          <w:t>1.4</w:t>
        </w:r>
      </w:hyperlink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 приложения N 2 к Методике №707, подлежат уточнению при предоставлении соответствующих обоснований (бухгалтерских справок и аналогичных документов), документально подтвержденных уполномоченными лицами проектной организации;</w:t>
      </w:r>
    </w:p>
    <w:p>
      <w:pPr>
        <w:pStyle w:val="ConsPlusNormal1"/>
        <w:tabs>
          <w:tab w:val="clear" w:pos="709"/>
          <w:tab w:val="left" w:pos="1134" w:leader="none"/>
        </w:tabs>
        <w:ind w:firstLine="567"/>
        <w:jc w:val="both"/>
        <w:rPr>
          <w:highlight w:val="none"/>
          <w:shd w:fill="auto" w:val="clear"/>
        </w:rPr>
      </w:pPr>
      <w:r>
        <w:rPr/>
      </w:r>
      <m:oMath xmlns:m="http://schemas.openxmlformats.org/officeDocument/2006/math">
        <m:sSub>
          <m:e>
            <m:r>
              <w:rPr>
                <w:rFonts w:ascii="Cambria Math" w:hAnsi="Cambria Math"/>
              </w:rPr>
              <m:t xml:space="preserve">Ч</m:t>
            </m:r>
          </m:e>
          <m:sub>
            <m:r>
              <w:rPr>
                <w:rFonts w:ascii="Cambria Math" w:hAnsi="Cambria Math"/>
              </w:rPr>
              <m:t xml:space="preserve">i</m:t>
            </m:r>
          </m:sub>
        </m:sSub>
      </m:oMath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 </w:t>
      </w:r>
      <w:r>
        <w:rPr>
          <w:rFonts w:cs="Times New Roman" w:ascii="Times New Roman" w:hAnsi="Times New Roman"/>
          <w:sz w:val="24"/>
          <w:szCs w:val="24"/>
          <w:shd w:fill="auto" w:val="clear"/>
        </w:rPr>
        <w:t>- численность исполнителей одинаковой квалификации, чел.;</w:t>
      </w:r>
    </w:p>
    <w:p>
      <w:pPr>
        <w:pStyle w:val="ConsPlusNormal1"/>
        <w:tabs>
          <w:tab w:val="clear" w:pos="709"/>
          <w:tab w:val="left" w:pos="1134" w:leader="none"/>
        </w:tabs>
        <w:ind w:firstLine="567"/>
        <w:jc w:val="both"/>
        <w:rPr>
          <w:highlight w:val="none"/>
          <w:shd w:fill="auto" w:val="clear"/>
        </w:rPr>
      </w:pPr>
      <w:r>
        <w:rPr/>
      </w:r>
      <m:oMath xmlns:m="http://schemas.openxmlformats.org/officeDocument/2006/math">
        <m:sSub>
          <m:e>
            <m:r>
              <w:rPr>
                <w:rFonts w:ascii="Cambria Math" w:hAnsi="Cambria Math"/>
              </w:rPr>
              <m:t xml:space="preserve">T</m:t>
            </m:r>
          </m:e>
          <m:sub>
            <m:r>
              <w:rPr>
                <w:rFonts w:ascii="Cambria Math" w:hAnsi="Cambria Math"/>
              </w:rPr>
              <m:t xml:space="preserve">ф</m:t>
            </m:r>
            <m:r>
              <w:rPr>
                <w:rFonts w:ascii="Cambria Math" w:hAnsi="Cambria Math"/>
              </w:rPr>
              <m:t xml:space="preserve">i</m:t>
            </m:r>
          </m:sub>
        </m:sSub>
      </m:oMath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 </w:t>
      </w:r>
      <w:r>
        <w:rPr>
          <w:rFonts w:cs="Times New Roman" w:ascii="Times New Roman" w:hAnsi="Times New Roman"/>
          <w:sz w:val="24"/>
          <w:szCs w:val="24"/>
          <w:shd w:fill="auto" w:val="clear"/>
        </w:rPr>
        <w:t>- фактическое время работы исполнителей одинаковой квалификации, дни.</w:t>
      </w:r>
    </w:p>
    <w:p>
      <w:pPr>
        <w:pStyle w:val="ConsPlusNormal1"/>
        <w:tabs>
          <w:tab w:val="clear" w:pos="709"/>
          <w:tab w:val="left" w:pos="1134" w:leader="none"/>
        </w:tabs>
        <w:jc w:val="both"/>
        <w:rPr/>
      </w:pPr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Численность и должностные категории (квалификация) исполнителей, фактическое время работы исполнителей одинаковой квалификации определяются на основании положений документов по стандартизации согласно </w:t>
      </w:r>
      <w:hyperlink r:id="rId25">
        <w:r>
          <w:rPr>
            <w:rStyle w:val="Hyperlink"/>
            <w:rFonts w:cs="Times New Roman" w:ascii="Times New Roman" w:hAnsi="Times New Roman"/>
            <w:sz w:val="24"/>
            <w:szCs w:val="24"/>
            <w:shd w:fill="auto" w:val="clear"/>
          </w:rPr>
          <w:t>статье 14</w:t>
        </w:r>
      </w:hyperlink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 Федерального закона от 29 июня 2015 г. N 162-ФЗ "О стандартизации в Российской Федерации" (Собрание законодательства Российской Федерации, 2015, N 27, ст. 3953; 2021, N 1, ст. 62), стандартов процесса подготовки проектной документации согласно </w:t>
      </w:r>
      <w:hyperlink r:id="rId26">
        <w:r>
          <w:rPr>
            <w:rStyle w:val="Hyperlink"/>
            <w:rFonts w:cs="Times New Roman" w:ascii="Times New Roman" w:hAnsi="Times New Roman"/>
            <w:sz w:val="24"/>
            <w:szCs w:val="24"/>
            <w:shd w:fill="auto" w:val="clear"/>
          </w:rPr>
          <w:t>пункту 10 части 8 статьи 55.20</w:t>
        </w:r>
      </w:hyperlink>
      <w:r>
        <w:rPr>
          <w:rFonts w:cs="Times New Roman" w:ascii="Times New Roman" w:hAnsi="Times New Roman"/>
          <w:sz w:val="24"/>
          <w:szCs w:val="24"/>
          <w:shd w:fill="auto" w:val="clear"/>
        </w:rPr>
        <w:t xml:space="preserve"> Градостроительного кодекса Российской Федерации (Собрание законодательства Российской Федерации, 2005, N 1, ст. 16; 2018, N 32, ст. 5133), норм проектирования, данных о трудоемкости объектов-аналогов, результатов опроса, проведенного среди не менее трех проектных организаций, специализирующихся на выполнение проектных работ, на которые подготавливается смета, таблиц технологического процесса выполнения проектных работ по объекту, продолжительности выполняемых работ, указанных в календарном плане к договору на выполнение проектных работ, данных о времени и количестве исполнителей определенной квалификации, принимающих участие в выполнении проектных работ, которые должны быть подписаны руководителем проектной организации, предоставляющей такие данные, и заверены ее печатью;</w:t>
      </w:r>
    </w:p>
    <w:p>
      <w:pPr>
        <w:pStyle w:val="ConsPlusNormal1"/>
        <w:tabs>
          <w:tab w:val="clear" w:pos="709"/>
          <w:tab w:val="left" w:pos="1134" w:leader="none"/>
        </w:tabs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  <w:t>Для пересчета стоимости работ в текущий уровень цен применяются соответствующие индексы изменения сметной стоимости, выпущенные письмом Минстроя России, актуальным на момент составления сметной документации, с учетом периода выполнения работ.</w:t>
      </w:r>
    </w:p>
    <w:p>
      <w:pPr>
        <w:pStyle w:val="ConsPlusNormal1"/>
        <w:tabs>
          <w:tab w:val="clear" w:pos="709"/>
          <w:tab w:val="left" w:pos="1134" w:leader="none"/>
        </w:tabs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i/>
          <w:sz w:val="24"/>
          <w:szCs w:val="24"/>
          <w:shd w:fill="auto" w:val="clear"/>
        </w:rPr>
        <w:t xml:space="preserve">Например, в 1 квартале 2025 года, стоимость проектных работ рассчитывается по калькуляции затрат в уровне цен по состоянию на 31.12.2024 и включается в смету на проектные работы с последующим применением соответствующих индексов изменения сметной стоимости на 1 квартал 2025 года к уровню цен по состоянию на 01.01.2025, сообщаемых письмом Минстроя России от 01.02.2025г. №5170-ИФ/09. </w:t>
      </w:r>
    </w:p>
    <w:p>
      <w:pPr>
        <w:pStyle w:val="ListParagraph"/>
        <w:numPr>
          <w:ilvl w:val="1"/>
          <w:numId w:val="12"/>
        </w:numPr>
        <w:tabs>
          <w:tab w:val="clear" w:pos="709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 xml:space="preserve">Общий срок проектирования объекта в месяцах не должен превышать нормативные сроки установленные положениями Приказа Минстроя РФ от 15.05.2020г. № 264/пр «Об установлении срока, необходимого для выполнения инженерных изысканий, осуществления архитектурно-строительного проектирования и строительства зданий, сооружений, в целях расчета срока договора аренды земельного участка, находящегося в государственной или муниципальной собственности» которые устанавливают зависимость срока проектирования объекта в месяцах от его общей площади. </w:t>
      </w:r>
    </w:p>
    <w:p>
      <w:pPr>
        <w:pStyle w:val="Normal"/>
        <w:tabs>
          <w:tab w:val="clear" w:pos="709"/>
          <w:tab w:val="left" w:pos="1134" w:leader="none"/>
        </w:tabs>
        <w:spacing w:lineRule="auto" w:line="240" w:before="0" w:after="0"/>
        <w:ind w:firstLine="567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Для объектов, сроки проектирования которых невозможно определить в соответствии с указанным Приказом, допустимо применение иных документов, не противоречащих действующему законодательству.</w:t>
      </w:r>
    </w:p>
    <w:p>
      <w:pPr>
        <w:pStyle w:val="ListParagraph"/>
        <w:numPr>
          <w:ilvl w:val="1"/>
          <w:numId w:val="12"/>
        </w:numPr>
        <w:tabs>
          <w:tab w:val="clear" w:pos="709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стоимость проектных работ, определяемых в соответствии с калькуляцией затрат, не учитывает командировочные расходы, непосредственно связанные с проектированием объекта, определяемые дополнительно.</w:t>
      </w:r>
    </w:p>
    <w:p>
      <w:pPr>
        <w:pStyle w:val="ListParagraph"/>
        <w:numPr>
          <w:ilvl w:val="0"/>
          <w:numId w:val="7"/>
        </w:numPr>
        <w:tabs>
          <w:tab w:val="clear" w:pos="709"/>
          <w:tab w:val="left" w:pos="993" w:leader="none"/>
        </w:tabs>
        <w:spacing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>Для обоснования командировочных расходов предоставляется отдельно выполненный расчет (форма 4п) с расшифровкой затрат на проезд, проживание, суточные расходы. Размер расходов на проезд и стоимость проживания в гостинице определяется на момент составления расчета.</w:t>
      </w:r>
    </w:p>
    <w:p>
      <w:pPr>
        <w:pStyle w:val="Normal"/>
        <w:tabs>
          <w:tab w:val="clear" w:pos="709"/>
          <w:tab w:val="left" w:pos="1080" w:leader="none"/>
          <w:tab w:val="left" w:pos="1134" w:leader="none"/>
        </w:tabs>
        <w:spacing w:lineRule="auto" w:line="240" w:before="0" w:after="0"/>
        <w:ind w:firstLine="567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>Размеры возмещения расходов, связанных со служебными командировками, определяются коллективным договором и/или локальным нормативным актом организации–исполнителя, но не выше нормативов возмещения расходов, связанных со служебными командировками, установленных локальным нормативным актом организации–заказчика.</w:t>
      </w:r>
    </w:p>
    <w:p>
      <w:pPr>
        <w:pStyle w:val="ConsPlusNormal1"/>
        <w:tabs>
          <w:tab w:val="clear" w:pos="709"/>
          <w:tab w:val="left" w:pos="284" w:leader="none"/>
          <w:tab w:val="left" w:pos="1134" w:leader="none"/>
        </w:tabs>
        <w:ind w:firstLine="567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color w:val="000000"/>
          <w:sz w:val="24"/>
          <w:szCs w:val="24"/>
          <w:shd w:fill="auto" w:val="clear"/>
        </w:rPr>
        <w:t>Лимиты командировочных расходов при производстве ПИР не более:</w:t>
      </w:r>
    </w:p>
    <w:p>
      <w:pPr>
        <w:pStyle w:val="ListParagraph"/>
        <w:numPr>
          <w:ilvl w:val="0"/>
          <w:numId w:val="3"/>
        </w:numPr>
        <w:tabs>
          <w:tab w:val="clear" w:pos="709"/>
          <w:tab w:val="left" w:pos="851" w:leader="none"/>
          <w:tab w:val="left" w:pos="1080" w:leader="none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>суточные - 700 руб./сутки;</w:t>
      </w:r>
    </w:p>
    <w:p>
      <w:pPr>
        <w:pStyle w:val="ListParagraph"/>
        <w:numPr>
          <w:ilvl w:val="0"/>
          <w:numId w:val="3"/>
        </w:numPr>
        <w:tabs>
          <w:tab w:val="clear" w:pos="709"/>
          <w:tab w:val="left" w:pos="851" w:leader="none"/>
          <w:tab w:val="left" w:pos="1080" w:leader="none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>проживание – 5000 руб./сутки;</w:t>
      </w:r>
    </w:p>
    <w:p>
      <w:pPr>
        <w:pStyle w:val="ListParagraph"/>
        <w:numPr>
          <w:ilvl w:val="0"/>
          <w:numId w:val="3"/>
        </w:numPr>
        <w:tabs>
          <w:tab w:val="clear" w:pos="709"/>
          <w:tab w:val="left" w:pos="851" w:leader="none"/>
          <w:tab w:val="left" w:pos="1080" w:leader="none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color w:val="000000"/>
          <w:sz w:val="24"/>
          <w:szCs w:val="24"/>
          <w:shd w:fill="auto" w:val="clear"/>
        </w:rPr>
        <w:t>проезд: поезд (купе) или самолет (класс–эконом с багажом до 20 (двадцати) кг, ручная кладь до 10 (десяти) кг).</w:t>
      </w:r>
    </w:p>
    <w:p>
      <w:pPr>
        <w:pStyle w:val="ListParagraph"/>
        <w:tabs>
          <w:tab w:val="clear" w:pos="709"/>
          <w:tab w:val="left" w:pos="1080" w:leader="none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 xml:space="preserve">При учете командировочных расходов стоимость проезда (авиа-, ж/д, …) и проживания определяются по наиболее экономичному варианту, определенному на основании сбора информации о текущих ценах (далее - конъюнктурный анализ) в соответствии с Приложением № 3 к Требованиям к оформлению и составлению сметной документации на работы по строительству.  </w:t>
      </w:r>
    </w:p>
    <w:p>
      <w:pPr>
        <w:sectPr>
          <w:footerReference w:type="default" r:id="rId27"/>
          <w:footerReference w:type="first" r:id="rId28"/>
          <w:footnotePr>
            <w:numFmt w:val="decimal"/>
            <w:numRestart w:val="eachSect"/>
          </w:footnotePr>
          <w:type w:val="nextPage"/>
          <w:pgSz w:w="11906" w:h="16838"/>
          <w:pgMar w:left="1418" w:right="851" w:gutter="0" w:header="0" w:top="1134" w:footer="709" w:bottom="1134"/>
          <w:pgNumType w:fmt="decimal"/>
          <w:formProt w:val="false"/>
          <w:textDirection w:val="lrTb"/>
          <w:docGrid w:type="default" w:linePitch="360" w:charSpace="0"/>
        </w:sectPr>
        <w:pStyle w:val="ListParagraph"/>
        <w:tabs>
          <w:tab w:val="clear" w:pos="709"/>
          <w:tab w:val="left" w:pos="1080" w:leader="none"/>
          <w:tab w:val="left" w:pos="1134" w:leader="none"/>
        </w:tabs>
        <w:spacing w:lineRule="auto" w:line="240" w:before="0" w:after="0"/>
        <w:ind w:left="0" w:firstLine="567"/>
        <w:contextualSpacing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  <w:t>При наличии командированных расходов необходимо составлять общий реестр стоимости проездных билетов с разбивкой по сметам, к которым они относятся.</w:t>
      </w:r>
    </w:p>
    <w:p>
      <w:pPr>
        <w:pStyle w:val="Normal"/>
        <w:spacing w:lineRule="auto" w:line="240" w:before="0" w:after="0"/>
        <w:ind w:left="5811" w:right="-2" w:hanging="0"/>
        <w:contextualSpacing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z w:val="20"/>
          <w:shd w:fill="auto" w:val="clear"/>
        </w:rPr>
        <w:t>Приложение № 2</w:t>
      </w:r>
    </w:p>
    <w:p>
      <w:pPr>
        <w:pStyle w:val="Normal"/>
        <w:spacing w:lineRule="auto" w:line="240" w:before="0" w:after="0"/>
        <w:ind w:left="5811" w:right="-2" w:hanging="0"/>
        <w:contextualSpacing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z w:val="20"/>
          <w:shd w:fill="auto" w:val="clear"/>
        </w:rPr>
        <w:t>к Требованиям к оформлению и составлению сметной документации на выполнение ПИР</w:t>
      </w:r>
    </w:p>
    <w:p>
      <w:pPr>
        <w:pStyle w:val="Normal"/>
        <w:shd w:val="clear" w:color="auto" w:fill="FFFFFF"/>
        <w:spacing w:lineRule="auto" w:line="240" w:before="0" w:after="0"/>
        <w:ind w:left="720" w:firstLine="284"/>
        <w:contextualSpacing/>
        <w:jc w:val="center"/>
        <w:rPr>
          <w:rFonts w:ascii="Times New Roman" w:hAnsi="Times New Roman"/>
          <w:b/>
          <w:bCs/>
          <w:iCs/>
          <w:spacing w:val="-4"/>
          <w:highlight w:val="none"/>
          <w:shd w:fill="auto" w:val="clear"/>
        </w:rPr>
      </w:pPr>
      <w:r>
        <w:rPr>
          <w:rFonts w:ascii="Times New Roman" w:hAnsi="Times New Roman"/>
          <w:b/>
          <w:bCs/>
          <w:iCs/>
          <w:spacing w:val="-4"/>
          <w:shd w:fill="auto" w:val="clear"/>
        </w:rPr>
      </w:r>
    </w:p>
    <w:tbl>
      <w:tblPr>
        <w:tblW w:w="9356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a0" w:noVBand="1" w:noHBand="0" w:lastColumn="0" w:firstColumn="1" w:lastRow="0" w:firstRow="1"/>
      </w:tblPr>
      <w:tblGrid>
        <w:gridCol w:w="9356"/>
      </w:tblGrid>
      <w:tr>
        <w:trPr/>
        <w:tc>
          <w:tcPr>
            <w:tcW w:w="9356" w:type="dxa"/>
            <w:tcBorders/>
          </w:tcPr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  <w:t>Образец сметы</w:t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  <w:t>на основные и дополнительные проектные работы,</w:t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  <w:t>а также сопутствующие работы (форма 2п)</w:t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both"/>
              <w:rPr>
                <w:rFonts w:ascii="Times New Roman" w:hAnsi="Times New Roman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  <w:t>СМЕТА №</w:t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  <w:t>на проектные работы</w:t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both"/>
              <w:rPr>
                <w:rFonts w:ascii="Times New Roman" w:hAnsi="Times New Roman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both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  <w:t>__________________________________________________________________________________</w:t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hd w:fill="auto" w:val="clear"/>
              </w:rPr>
              <w:t>(наименование объекта)</w:t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both"/>
              <w:rPr>
                <w:rFonts w:ascii="Times New Roman" w:hAnsi="Times New Roman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both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  <w:t>Заказчик ________________________________________________________________________________</w:t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hd w:fill="auto" w:val="clear"/>
              </w:rPr>
              <w:t>(наименование организации)</w:t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both"/>
              <w:rPr>
                <w:rFonts w:ascii="Times New Roman" w:hAnsi="Times New Roman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  <w:t>Проектная организация ___________________________________________________________________</w:t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hd w:fill="auto" w:val="clear"/>
              </w:rPr>
              <w:t>(наименование организации)</w:t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both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  <w:t>Составлена в уровне цен на ___________ 20__ г.</w:t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both"/>
              <w:rPr>
                <w:rFonts w:ascii="Times New Roman" w:hAnsi="Times New Roman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</w:r>
          </w:p>
          <w:tbl>
            <w:tblPr>
              <w:tblW w:w="9521" w:type="dxa"/>
              <w:jc w:val="left"/>
              <w:tblInd w:w="0" w:type="dxa"/>
              <w:tblLayout w:type="fixed"/>
              <w:tblCellMar>
                <w:top w:w="102" w:type="dxa"/>
                <w:left w:w="62" w:type="dxa"/>
                <w:bottom w:w="102" w:type="dxa"/>
                <w:right w:w="62" w:type="dxa"/>
              </w:tblCellMar>
              <w:tblLook w:val="04a0" w:noVBand="1" w:noHBand="0" w:lastColumn="0" w:firstColumn="1" w:lastRow="0" w:firstRow="1"/>
            </w:tblPr>
            <w:tblGrid>
              <w:gridCol w:w="454"/>
              <w:gridCol w:w="1811"/>
              <w:gridCol w:w="3419"/>
              <w:gridCol w:w="1988"/>
              <w:gridCol w:w="1849"/>
            </w:tblGrid>
            <w:tr>
              <w:trPr/>
              <w:tc>
                <w:tcPr>
                  <w:tcW w:w="454" w:type="dxa"/>
                  <w:tcBorders>
                    <w:top w:val="single" w:sz="8" w:space="0" w:color="000000"/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  <w:t>N пп</w:t>
                  </w:r>
                </w:p>
              </w:tc>
              <w:tc>
                <w:tcPr>
                  <w:tcW w:w="1811" w:type="dxa"/>
                  <w:tcBorders>
                    <w:top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  <w:t>Наименование объекта проектирования или вида проектных работ</w:t>
                  </w:r>
                </w:p>
              </w:tc>
              <w:tc>
                <w:tcPr>
                  <w:tcW w:w="3419" w:type="dxa"/>
                  <w:tcBorders>
                    <w:top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  <w:t>Наименование, номера глав, таблиц, параграфов и пунктов МНЗ (СБЦ) на проектные работы</w:t>
                  </w:r>
                </w:p>
              </w:tc>
              <w:tc>
                <w:tcPr>
                  <w:tcW w:w="1988" w:type="dxa"/>
                  <w:tcBorders>
                    <w:top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  <w:t>Расчет стоимости</w:t>
                  </w:r>
                </w:p>
              </w:tc>
              <w:tc>
                <w:tcPr>
                  <w:tcW w:w="1849" w:type="dxa"/>
                  <w:tcBorders>
                    <w:top w:val="single" w:sz="8" w:space="0" w:color="000000"/>
                    <w:bottom w:val="single" w:sz="8" w:space="0" w:color="000000"/>
                    <w:right w:val="single" w:sz="8" w:space="0" w:color="000000"/>
                  </w:tcBorders>
                  <w:vAlign w:val="center"/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ind w:left="187" w:hanging="0"/>
                    <w:contextualSpacing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  <w:t>Сметная стоимость, руб.</w:t>
                  </w:r>
                </w:p>
              </w:tc>
            </w:tr>
            <w:tr>
              <w:trPr>
                <w:trHeight w:val="255" w:hRule="atLeast"/>
              </w:trPr>
              <w:tc>
                <w:tcPr>
                  <w:tcW w:w="454" w:type="dxa"/>
                  <w:tcBorders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  <w:t>1</w:t>
                  </w:r>
                </w:p>
              </w:tc>
              <w:tc>
                <w:tcPr>
                  <w:tcW w:w="1811" w:type="dxa"/>
                  <w:tcBorders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jc w:val="center"/>
                    <w:rPr>
                      <w:highlight w:val="none"/>
                      <w:shd w:fill="auto" w:val="clear"/>
                    </w:rPr>
                  </w:pPr>
                  <w:bookmarkStart w:id="41" w:name="P3725"/>
                  <w:bookmarkEnd w:id="41"/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  <w:t>2</w:t>
                  </w:r>
                </w:p>
              </w:tc>
              <w:tc>
                <w:tcPr>
                  <w:tcW w:w="3419" w:type="dxa"/>
                  <w:tcBorders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jc w:val="center"/>
                    <w:rPr>
                      <w:highlight w:val="none"/>
                      <w:shd w:fill="auto" w:val="clear"/>
                    </w:rPr>
                  </w:pPr>
                  <w:bookmarkStart w:id="42" w:name="P3726"/>
                  <w:bookmarkEnd w:id="42"/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  <w:t>3</w:t>
                  </w:r>
                </w:p>
              </w:tc>
              <w:tc>
                <w:tcPr>
                  <w:tcW w:w="1988" w:type="dxa"/>
                  <w:tcBorders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jc w:val="center"/>
                    <w:rPr>
                      <w:highlight w:val="none"/>
                      <w:shd w:fill="auto" w:val="clear"/>
                    </w:rPr>
                  </w:pPr>
                  <w:bookmarkStart w:id="43" w:name="P3727"/>
                  <w:bookmarkEnd w:id="43"/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  <w:t>4</w:t>
                  </w:r>
                </w:p>
              </w:tc>
              <w:tc>
                <w:tcPr>
                  <w:tcW w:w="1849" w:type="dxa"/>
                  <w:tcBorders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ind w:left="187" w:hanging="0"/>
                    <w:contextualSpacing/>
                    <w:jc w:val="center"/>
                    <w:rPr>
                      <w:highlight w:val="none"/>
                      <w:shd w:fill="auto" w:val="clear"/>
                    </w:rPr>
                  </w:pPr>
                  <w:bookmarkStart w:id="44" w:name="P3728"/>
                  <w:bookmarkEnd w:id="44"/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  <w:t>5</w:t>
                  </w:r>
                </w:p>
              </w:tc>
            </w:tr>
            <w:tr>
              <w:trPr/>
              <w:tc>
                <w:tcPr>
                  <w:tcW w:w="454" w:type="dxa"/>
                  <w:tcBorders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rPr>
                      <w:rFonts w:ascii="Times New Roman" w:hAnsi="Times New Roman"/>
                      <w:sz w:val="20"/>
                      <w:szCs w:val="20"/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</w:r>
                </w:p>
              </w:tc>
              <w:tc>
                <w:tcPr>
                  <w:tcW w:w="1811" w:type="dxa"/>
                  <w:tcBorders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rPr>
                      <w:rFonts w:ascii="Times New Roman" w:hAnsi="Times New Roman"/>
                      <w:sz w:val="20"/>
                      <w:szCs w:val="20"/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</w:r>
                </w:p>
              </w:tc>
              <w:tc>
                <w:tcPr>
                  <w:tcW w:w="3419" w:type="dxa"/>
                  <w:tcBorders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rPr>
                      <w:rFonts w:ascii="Times New Roman" w:hAnsi="Times New Roman"/>
                      <w:sz w:val="20"/>
                      <w:szCs w:val="20"/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</w:r>
                </w:p>
              </w:tc>
              <w:tc>
                <w:tcPr>
                  <w:tcW w:w="1988" w:type="dxa"/>
                  <w:tcBorders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rPr>
                      <w:rFonts w:ascii="Times New Roman" w:hAnsi="Times New Roman"/>
                      <w:sz w:val="20"/>
                      <w:szCs w:val="20"/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</w:r>
                </w:p>
              </w:tc>
              <w:tc>
                <w:tcPr>
                  <w:tcW w:w="1849" w:type="dxa"/>
                  <w:tcBorders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ind w:left="187" w:hanging="0"/>
                    <w:contextualSpacing/>
                    <w:rPr>
                      <w:rFonts w:ascii="Times New Roman" w:hAnsi="Times New Roman"/>
                      <w:sz w:val="20"/>
                      <w:szCs w:val="20"/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</w:r>
                </w:p>
              </w:tc>
            </w:tr>
            <w:tr>
              <w:trPr/>
              <w:tc>
                <w:tcPr>
                  <w:tcW w:w="454" w:type="dxa"/>
                  <w:tcBorders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rPr>
                      <w:rFonts w:ascii="Times New Roman" w:hAnsi="Times New Roman"/>
                      <w:sz w:val="20"/>
                      <w:szCs w:val="20"/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</w:r>
                </w:p>
              </w:tc>
              <w:tc>
                <w:tcPr>
                  <w:tcW w:w="1811" w:type="dxa"/>
                  <w:tcBorders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rPr>
                      <w:rFonts w:ascii="Times New Roman" w:hAnsi="Times New Roman"/>
                      <w:sz w:val="20"/>
                      <w:szCs w:val="20"/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</w:r>
                </w:p>
              </w:tc>
              <w:tc>
                <w:tcPr>
                  <w:tcW w:w="3419" w:type="dxa"/>
                  <w:tcBorders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rPr>
                      <w:rFonts w:ascii="Times New Roman" w:hAnsi="Times New Roman"/>
                      <w:sz w:val="20"/>
                      <w:szCs w:val="20"/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</w:r>
                </w:p>
              </w:tc>
              <w:tc>
                <w:tcPr>
                  <w:tcW w:w="1988" w:type="dxa"/>
                  <w:tcBorders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rPr>
                      <w:rFonts w:ascii="Times New Roman" w:hAnsi="Times New Roman"/>
                      <w:sz w:val="20"/>
                      <w:szCs w:val="20"/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</w:r>
                </w:p>
              </w:tc>
              <w:tc>
                <w:tcPr>
                  <w:tcW w:w="1849" w:type="dxa"/>
                  <w:tcBorders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ind w:left="187" w:hanging="0"/>
                    <w:contextualSpacing/>
                    <w:rPr>
                      <w:rFonts w:ascii="Times New Roman" w:hAnsi="Times New Roman"/>
                      <w:sz w:val="20"/>
                      <w:szCs w:val="20"/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</w:r>
                </w:p>
              </w:tc>
            </w:tr>
            <w:tr>
              <w:trPr/>
              <w:tc>
                <w:tcPr>
                  <w:tcW w:w="454" w:type="dxa"/>
                  <w:tcBorders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rPr>
                      <w:rFonts w:ascii="Times New Roman" w:hAnsi="Times New Roman"/>
                      <w:sz w:val="20"/>
                      <w:szCs w:val="20"/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</w:r>
                </w:p>
              </w:tc>
              <w:tc>
                <w:tcPr>
                  <w:tcW w:w="1811" w:type="dxa"/>
                  <w:tcBorders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rPr>
                      <w:rFonts w:ascii="Times New Roman" w:hAnsi="Times New Roman"/>
                      <w:sz w:val="20"/>
                      <w:szCs w:val="20"/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</w:r>
                </w:p>
              </w:tc>
              <w:tc>
                <w:tcPr>
                  <w:tcW w:w="3419" w:type="dxa"/>
                  <w:tcBorders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rPr>
                      <w:rFonts w:ascii="Times New Roman" w:hAnsi="Times New Roman"/>
                      <w:sz w:val="20"/>
                      <w:szCs w:val="20"/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</w:r>
                </w:p>
              </w:tc>
              <w:tc>
                <w:tcPr>
                  <w:tcW w:w="1988" w:type="dxa"/>
                  <w:tcBorders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rPr>
                      <w:rFonts w:ascii="Times New Roman" w:hAnsi="Times New Roman"/>
                      <w:sz w:val="20"/>
                      <w:szCs w:val="20"/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</w:r>
                </w:p>
              </w:tc>
              <w:tc>
                <w:tcPr>
                  <w:tcW w:w="1849" w:type="dxa"/>
                  <w:tcBorders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ind w:left="187" w:hanging="0"/>
                    <w:contextualSpacing/>
                    <w:rPr>
                      <w:rFonts w:ascii="Times New Roman" w:hAnsi="Times New Roman"/>
                      <w:sz w:val="20"/>
                      <w:szCs w:val="20"/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</w:r>
                </w:p>
              </w:tc>
            </w:tr>
            <w:tr>
              <w:trPr>
                <w:trHeight w:val="300" w:hRule="atLeast"/>
              </w:trPr>
              <w:tc>
                <w:tcPr>
                  <w:tcW w:w="454" w:type="dxa"/>
                  <w:tcBorders>
                    <w:left w:val="single" w:sz="8" w:space="0" w:color="000000"/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rPr>
                      <w:rFonts w:ascii="Times New Roman" w:hAnsi="Times New Roman"/>
                      <w:sz w:val="20"/>
                      <w:szCs w:val="20"/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</w:r>
                </w:p>
              </w:tc>
              <w:tc>
                <w:tcPr>
                  <w:tcW w:w="5230" w:type="dxa"/>
                  <w:gridSpan w:val="2"/>
                  <w:tcBorders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  <w:t>Итого без учета НДС</w:t>
                  </w:r>
                </w:p>
              </w:tc>
              <w:tc>
                <w:tcPr>
                  <w:tcW w:w="1988" w:type="dxa"/>
                  <w:tcBorders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contextualSpacing/>
                    <w:rPr>
                      <w:rFonts w:ascii="Times New Roman" w:hAnsi="Times New Roman"/>
                      <w:sz w:val="20"/>
                      <w:szCs w:val="20"/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</w:r>
                </w:p>
              </w:tc>
              <w:tc>
                <w:tcPr>
                  <w:tcW w:w="1849" w:type="dxa"/>
                  <w:tcBorders>
                    <w:bottom w:val="single" w:sz="8" w:space="0" w:color="000000"/>
                    <w:right w:val="single" w:sz="8" w:space="0" w:color="000000"/>
                  </w:tcBorders>
                </w:tcPr>
                <w:p>
                  <w:pPr>
                    <w:pStyle w:val="Normal"/>
                    <w:widowControl w:val="false"/>
                    <w:spacing w:lineRule="auto" w:line="240" w:before="0" w:after="0"/>
                    <w:ind w:left="187" w:hanging="0"/>
                    <w:contextualSpacing/>
                    <w:rPr>
                      <w:rFonts w:ascii="Times New Roman" w:hAnsi="Times New Roman"/>
                      <w:sz w:val="20"/>
                      <w:szCs w:val="20"/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  <w:shd w:fill="auto" w:val="clear"/>
                    </w:rPr>
                  </w:r>
                </w:p>
              </w:tc>
            </w:tr>
          </w:tbl>
          <w:p>
            <w:pPr>
              <w:pStyle w:val="Normal"/>
              <w:widowControl w:val="false"/>
              <w:spacing w:lineRule="auto" w:line="240" w:before="0" w:after="0"/>
              <w:contextualSpacing/>
              <w:jc w:val="both"/>
              <w:rPr>
                <w:rFonts w:ascii="Times New Roman" w:hAnsi="Times New Roman" w:eastAsia="Calibri" w:eastAsiaTheme="minorHAnsi"/>
                <w:highlight w:val="none"/>
                <w:shd w:fill="auto" w:val="clear"/>
                <w:lang w:eastAsia="en-US"/>
              </w:rPr>
            </w:pPr>
            <w:r>
              <w:rPr>
                <w:rFonts w:eastAsia="Calibri" w:eastAsiaTheme="minorHAnsi" w:ascii="Times New Roman" w:hAnsi="Times New Roman"/>
                <w:shd w:fill="auto" w:val="clear"/>
                <w:lang w:eastAsia="en-US"/>
              </w:rPr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both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  <w:t>Руководитель проектной организации _____________________________________________</w:t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hd w:fill="auto" w:val="clear"/>
              </w:rPr>
              <w:t>[подпись (инициалы, фамилия)]</w:t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both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  <w:t>Главный инженер проекта _______________________________________________________</w:t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hd w:fill="auto" w:val="clear"/>
              </w:rPr>
              <w:t>[подпись (инициалы, фамилия)]</w:t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rFonts w:ascii="Times New Roman" w:hAnsi="Times New Roman"/>
                <w:i/>
                <w:i/>
                <w:iCs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hd w:fill="auto" w:val="clear"/>
              </w:rPr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both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  <w:t>Начальник ___________________ отдела __________________________________________</w:t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both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  <w:t xml:space="preserve">                             </w:t>
            </w:r>
            <w:r>
              <w:rPr>
                <w:rFonts w:ascii="Times New Roman" w:hAnsi="Times New Roman"/>
                <w:i/>
                <w:iCs/>
                <w:shd w:fill="auto" w:val="clear"/>
              </w:rPr>
              <w:t>(наименование)                            [подпись (инициалы, фамилия)]</w:t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both"/>
              <w:rPr>
                <w:rFonts w:ascii="Times New Roman" w:hAnsi="Times New Roman"/>
                <w:i/>
                <w:i/>
                <w:iCs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i/>
                <w:iCs/>
                <w:shd w:fill="auto" w:val="clear"/>
              </w:rPr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both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  <w:t>Заказчик _____________________________________________________________________</w:t>
            </w:r>
          </w:p>
          <w:p>
            <w:pPr>
              <w:pStyle w:val="Normal"/>
              <w:widowControl w:val="false"/>
              <w:spacing w:lineRule="auto" w:line="240" w:before="0" w:after="0"/>
              <w:contextualSpacing/>
              <w:jc w:val="center"/>
              <w:rPr>
                <w:highlight w:val="none"/>
                <w:shd w:fill="auto" w:val="clear"/>
              </w:rPr>
            </w:pPr>
            <w:bookmarkStart w:id="45" w:name="_Hlk149126469"/>
            <w:r>
              <w:rPr>
                <w:rFonts w:ascii="Times New Roman" w:hAnsi="Times New Roman"/>
                <w:i/>
                <w:iCs/>
                <w:shd w:fill="auto" w:val="clear"/>
              </w:rPr>
              <w:t>[должность, подпись (инициалы, фамилия)]</w:t>
            </w:r>
            <w:bookmarkEnd w:id="45"/>
          </w:p>
          <w:p>
            <w:pPr>
              <w:pStyle w:val="Normal"/>
              <w:widowControl w:val="false"/>
              <w:spacing w:lineRule="auto" w:line="240" w:before="0" w:after="0"/>
              <w:contextualSpacing/>
              <w:rPr>
                <w:rFonts w:ascii="Times New Roman" w:hAnsi="Times New Roman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</w:r>
          </w:p>
        </w:tc>
      </w:tr>
    </w:tbl>
    <w:p>
      <w:pPr>
        <w:sectPr>
          <w:footerReference w:type="default" r:id="rId29"/>
          <w:footerReference w:type="first" r:id="rId30"/>
          <w:footnotePr>
            <w:numFmt w:val="decimal"/>
            <w:numRestart w:val="eachSect"/>
          </w:footnotePr>
          <w:type w:val="nextPage"/>
          <w:pgSz w:w="11906" w:h="16838"/>
          <w:pgMar w:left="1418" w:right="851" w:gutter="0" w:header="0" w:top="1134" w:footer="709" w:bottom="1134"/>
          <w:pgNumType w:fmt="decimal"/>
          <w:formProt w:val="false"/>
          <w:textDirection w:val="lrTb"/>
          <w:docGrid w:type="default" w:linePitch="100" w:charSpace="0"/>
        </w:sectPr>
      </w:pPr>
    </w:p>
    <w:p>
      <w:pPr>
        <w:pStyle w:val="Normal"/>
        <w:spacing w:lineRule="auto" w:line="240" w:before="0" w:after="0"/>
        <w:ind w:left="5811" w:hanging="0"/>
        <w:contextualSpacing/>
        <w:rPr>
          <w:highlight w:val="none"/>
          <w:shd w:fill="auto" w:val="clear"/>
        </w:rPr>
      </w:pPr>
      <w:bookmarkStart w:id="46" w:name="P3839"/>
      <w:bookmarkStart w:id="47" w:name="P3838"/>
      <w:bookmarkStart w:id="48" w:name="P3837"/>
      <w:bookmarkStart w:id="49" w:name="P3836"/>
      <w:bookmarkStart w:id="50" w:name="P3835"/>
      <w:bookmarkStart w:id="51" w:name="P3834"/>
      <w:bookmarkStart w:id="52" w:name="P3833"/>
      <w:bookmarkStart w:id="53" w:name="P3832"/>
      <w:bookmarkStart w:id="54" w:name="P3831"/>
      <w:bookmarkStart w:id="55" w:name="P3816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r>
        <w:rPr>
          <w:rFonts w:ascii="Times New Roman" w:hAnsi="Times New Roman"/>
          <w:sz w:val="20"/>
          <w:shd w:fill="auto" w:val="clear"/>
        </w:rPr>
        <w:t>Приложение № 3</w:t>
      </w:r>
    </w:p>
    <w:p>
      <w:pPr>
        <w:pStyle w:val="Normal"/>
        <w:spacing w:lineRule="auto" w:line="240" w:before="0" w:after="0"/>
        <w:ind w:left="5811" w:hanging="0"/>
        <w:rPr>
          <w:highlight w:val="none"/>
          <w:shd w:fill="auto" w:val="clear"/>
        </w:rPr>
      </w:pPr>
      <w:r>
        <w:rPr>
          <w:rFonts w:ascii="Times New Roman" w:hAnsi="Times New Roman"/>
          <w:sz w:val="20"/>
          <w:shd w:fill="auto" w:val="clear"/>
        </w:rPr>
        <w:t>к Требованиям к оформлению и составлению сметной документации на выполнение ПИР</w:t>
      </w:r>
    </w:p>
    <w:tbl>
      <w:tblPr>
        <w:tblW w:w="14853" w:type="dxa"/>
        <w:jc w:val="left"/>
        <w:tblInd w:w="93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a0" w:noVBand="1" w:noHBand="0" w:lastColumn="0" w:firstColumn="1" w:lastRow="0" w:firstRow="1"/>
      </w:tblPr>
      <w:tblGrid>
        <w:gridCol w:w="9229"/>
        <w:gridCol w:w="238"/>
        <w:gridCol w:w="2186"/>
        <w:gridCol w:w="1095"/>
        <w:gridCol w:w="306"/>
        <w:gridCol w:w="215"/>
        <w:gridCol w:w="1583"/>
      </w:tblGrid>
      <w:tr>
        <w:trPr>
          <w:trHeight w:val="20" w:hRule="atLeast"/>
        </w:trPr>
        <w:tc>
          <w:tcPr>
            <w:tcW w:w="9229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</w:r>
          </w:p>
          <w:p>
            <w:pPr>
              <w:pStyle w:val="Normal"/>
              <w:widowControl w:val="false"/>
              <w:spacing w:lineRule="auto" w:line="240" w:before="0" w:after="0"/>
              <w:jc w:val="right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  <w:t xml:space="preserve">                                                         </w:t>
            </w:r>
            <w:r>
              <w:rPr>
                <w:rFonts w:ascii="Times New Roman" w:hAnsi="Times New Roman"/>
                <w:shd w:fill="auto" w:val="clear"/>
              </w:rPr>
              <w:t xml:space="preserve">к Договору    от___ ______202___  №_________ </w:t>
            </w:r>
          </w:p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</w:r>
          </w:p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  <w:t xml:space="preserve">СОГЛАСОВАНО:                                                                                   УТВЕРЖДЕНО:                                                                                                                                                                </w:t>
            </w:r>
          </w:p>
        </w:tc>
        <w:tc>
          <w:tcPr>
            <w:tcW w:w="238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  <w:t xml:space="preserve">         </w:t>
            </w:r>
          </w:p>
        </w:tc>
        <w:tc>
          <w:tcPr>
            <w:tcW w:w="2186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  <w:t xml:space="preserve">                       </w:t>
            </w:r>
          </w:p>
        </w:tc>
        <w:tc>
          <w:tcPr>
            <w:tcW w:w="1401" w:type="dxa"/>
            <w:gridSpan w:val="2"/>
            <w:tcBorders/>
            <w:shd w:color="auto" w:fill="FFFFFF" w:val="clear"/>
          </w:tcPr>
          <w:p>
            <w:pPr>
              <w:pStyle w:val="Normal"/>
              <w:widowControl w:val="false"/>
              <w:tabs>
                <w:tab w:val="clear" w:pos="709"/>
                <w:tab w:val="left" w:pos="627" w:leader="none"/>
              </w:tabs>
              <w:spacing w:lineRule="auto" w:line="240" w:before="0" w:after="0"/>
              <w:ind w:left="-526" w:hanging="1332"/>
              <w:jc w:val="right"/>
              <w:rPr>
                <w:rFonts w:ascii="Times New Roman" w:hAnsi="Times New Roman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</w:r>
          </w:p>
        </w:tc>
        <w:tc>
          <w:tcPr>
            <w:tcW w:w="215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  <w:tc>
          <w:tcPr>
            <w:tcW w:w="1583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>
          <w:trHeight w:val="70" w:hRule="atLeast"/>
        </w:trPr>
        <w:tc>
          <w:tcPr>
            <w:tcW w:w="9229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</w:r>
          </w:p>
        </w:tc>
        <w:tc>
          <w:tcPr>
            <w:tcW w:w="238" w:type="dxa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</w:r>
          </w:p>
        </w:tc>
        <w:tc>
          <w:tcPr>
            <w:tcW w:w="3281" w:type="dxa"/>
            <w:gridSpan w:val="2"/>
            <w:tcBorders/>
            <w:vAlign w:val="bottom"/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Times New Roman" w:hAnsi="Times New Roman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</w:r>
          </w:p>
        </w:tc>
        <w:tc>
          <w:tcPr>
            <w:tcW w:w="521" w:type="dxa"/>
            <w:gridSpan w:val="2"/>
            <w:tcBorders/>
            <w:shd w:color="auto" w:fill="FFFFFF" w:val="clear"/>
          </w:tcPr>
          <w:p>
            <w:pPr>
              <w:pStyle w:val="Normal"/>
              <w:widowControl w:val="false"/>
              <w:spacing w:lineRule="auto" w:line="240" w:before="0" w:after="0"/>
              <w:jc w:val="right"/>
              <w:rPr>
                <w:rFonts w:ascii="Times New Roman" w:hAnsi="Times New Roman"/>
                <w:highlight w:val="none"/>
                <w:shd w:fill="auto" w:val="clear"/>
              </w:rPr>
            </w:pPr>
            <w:r>
              <w:rPr>
                <w:rFonts w:ascii="Times New Roman" w:hAnsi="Times New Roman"/>
                <w:shd w:fill="auto" w:val="clear"/>
              </w:rPr>
            </w:r>
          </w:p>
        </w:tc>
        <w:tc>
          <w:tcPr>
            <w:tcW w:w="1583" w:type="dxa"/>
            <w:tcBorders/>
          </w:tcPr>
          <w:p>
            <w:pPr>
              <w:pStyle w:val="Normal"/>
              <w:widowControl w:val="false"/>
              <w:spacing w:before="0" w:after="200"/>
              <w:rPr>
                <w:highlight w:val="none"/>
                <w:shd w:fill="auto" w:val="clear"/>
              </w:rPr>
            </w:pPr>
            <w:r>
              <w:rPr>
                <w:shd w:fill="auto" w:val="clear"/>
              </w:rPr>
            </w:r>
          </w:p>
        </w:tc>
      </w:tr>
      <w:tr>
        <w:trPr/>
        <w:tc>
          <w:tcPr>
            <w:tcW w:w="11653" w:type="dxa"/>
            <w:gridSpan w:val="3"/>
            <w:tcBorders/>
          </w:tcPr>
          <w:tbl>
            <w:tblPr>
              <w:tblW w:w="9575" w:type="dxa"/>
              <w:jc w:val="left"/>
              <w:tblInd w:w="0" w:type="dxa"/>
              <w:tblLayout w:type="fixed"/>
              <w:tblCellMar>
                <w:top w:w="102" w:type="dxa"/>
                <w:left w:w="62" w:type="dxa"/>
                <w:bottom w:w="102" w:type="dxa"/>
                <w:right w:w="62" w:type="dxa"/>
              </w:tblCellMar>
              <w:tblLook w:val="0000" w:noVBand="0" w:noHBand="0" w:lastColumn="0" w:firstColumn="0" w:lastRow="0" w:firstRow="0"/>
            </w:tblPr>
            <w:tblGrid>
              <w:gridCol w:w="968"/>
              <w:gridCol w:w="2704"/>
              <w:gridCol w:w="1780"/>
              <w:gridCol w:w="2047"/>
              <w:gridCol w:w="2076"/>
            </w:tblGrid>
            <w:tr>
              <w:trPr/>
              <w:tc>
                <w:tcPr>
                  <w:tcW w:w="9575" w:type="dxa"/>
                  <w:gridSpan w:val="5"/>
                  <w:tcBorders/>
                </w:tcPr>
                <w:p>
                  <w:pPr>
                    <w:pStyle w:val="ConsPlusNormal1"/>
                    <w:widowControl w:val="false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СВОДНАЯ СМЕТА №</w:t>
                  </w:r>
                </w:p>
                <w:p>
                  <w:pPr>
                    <w:pStyle w:val="ConsPlusNormal1"/>
                    <w:widowControl w:val="false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на проектные работы и инженерные изыскания</w:t>
                  </w:r>
                </w:p>
                <w:p>
                  <w:pPr>
                    <w:pStyle w:val="Normal"/>
                    <w:widowControl w:val="false"/>
                    <w:spacing w:lineRule="auto" w:line="240" w:before="0" w:after="0"/>
                    <w:jc w:val="both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hd w:fill="auto" w:val="clear"/>
                    </w:rPr>
                    <w:t>_________________________________________________________________________________</w:t>
                  </w:r>
                </w:p>
                <w:p>
                  <w:pPr>
                    <w:pStyle w:val="Normal"/>
                    <w:widowControl w:val="false"/>
                    <w:spacing w:lineRule="auto" w:line="240" w:before="0" w:after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i/>
                      <w:iCs/>
                      <w:shd w:fill="auto" w:val="clear"/>
                    </w:rPr>
                    <w:t>(наименование объекта)</w:t>
                  </w:r>
                </w:p>
                <w:p>
                  <w:pPr>
                    <w:pStyle w:val="Normal"/>
                    <w:widowControl w:val="false"/>
                    <w:spacing w:lineRule="auto" w:line="240" w:before="0" w:after="0"/>
                    <w:jc w:val="both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hd w:fill="auto" w:val="clear"/>
                    </w:rPr>
                    <w:t>Заказчик ___________________________________________________________________________</w:t>
                  </w:r>
                </w:p>
                <w:p>
                  <w:pPr>
                    <w:pStyle w:val="Normal"/>
                    <w:widowControl w:val="false"/>
                    <w:spacing w:lineRule="auto" w:line="240" w:before="0" w:after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i/>
                      <w:iCs/>
                      <w:shd w:fill="auto" w:val="clear"/>
                    </w:rPr>
                    <w:t>(наименование организации)</w:t>
                  </w:r>
                </w:p>
                <w:p>
                  <w:pPr>
                    <w:pStyle w:val="Normal"/>
                    <w:widowControl w:val="false"/>
                    <w:spacing w:lineRule="auto" w:line="240" w:before="0" w:after="0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hd w:fill="auto" w:val="clear"/>
                    </w:rPr>
                    <w:t>Проектная организация ______________________________________________________________</w:t>
                  </w:r>
                </w:p>
                <w:p>
                  <w:pPr>
                    <w:pStyle w:val="Normal"/>
                    <w:widowControl w:val="false"/>
                    <w:spacing w:lineRule="auto" w:line="240" w:before="0" w:after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i/>
                      <w:iCs/>
                      <w:shd w:fill="auto" w:val="clear"/>
                    </w:rPr>
                    <w:t>(наименование организации)</w:t>
                  </w:r>
                </w:p>
                <w:p>
                  <w:pPr>
                    <w:pStyle w:val="Normal"/>
                    <w:widowControl w:val="false"/>
                    <w:spacing w:lineRule="auto" w:line="240" w:before="0" w:after="0"/>
                    <w:jc w:val="both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hd w:fill="auto" w:val="clear"/>
                    </w:rPr>
                    <w:t>Составлена в уровне цен на ___________ 20__ г.</w:t>
                  </w:r>
                </w:p>
                <w:p>
                  <w:pPr>
                    <w:pStyle w:val="ConsPlusNormal1"/>
                    <w:widowControl w:val="false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</w:tr>
            <w:tr>
              <w:trPr>
                <w:trHeight w:val="365" w:hRule="atLeast"/>
              </w:trPr>
              <w:tc>
                <w:tcPr>
                  <w:tcW w:w="968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N№ п/п</w:t>
                  </w:r>
                </w:p>
              </w:tc>
              <w:tc>
                <w:tcPr>
                  <w:tcW w:w="2704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Наименование смет на проектные работы и инженерные изыскания, затрат</w:t>
                  </w:r>
                </w:p>
              </w:tc>
              <w:tc>
                <w:tcPr>
                  <w:tcW w:w="1780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Обоснование</w:t>
                  </w:r>
                </w:p>
              </w:tc>
              <w:tc>
                <w:tcPr>
                  <w:tcW w:w="4123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>
                  <w:pPr>
                    <w:pStyle w:val="ConsPlusNormal1"/>
                    <w:widowControl w:val="false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Сметная стоимость, руб.</w:t>
                  </w:r>
                </w:p>
              </w:tc>
            </w:tr>
            <w:tr>
              <w:trPr>
                <w:trHeight w:val="74" w:hRule="atLeast"/>
              </w:trPr>
              <w:tc>
                <w:tcPr>
                  <w:tcW w:w="968" w:type="dxa"/>
                  <w:vMerge w:val="continue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>
                  <w:pPr>
                    <w:pStyle w:val="Normal"/>
                    <w:widowControl w:val="false"/>
                    <w:spacing w:before="0" w:after="0"/>
                    <w:jc w:val="center"/>
                    <w:rPr>
                      <w:rFonts w:ascii="Times New Roman" w:hAnsi="Times New Roman"/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hd w:fill="auto" w:val="clear"/>
                    </w:rPr>
                  </w:r>
                </w:p>
              </w:tc>
              <w:tc>
                <w:tcPr>
                  <w:tcW w:w="2704" w:type="dxa"/>
                  <w:vMerge w:val="continue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>
                  <w:pPr>
                    <w:pStyle w:val="Normal"/>
                    <w:widowControl w:val="false"/>
                    <w:spacing w:before="0" w:after="0"/>
                    <w:rPr>
                      <w:rFonts w:ascii="Times New Roman" w:hAnsi="Times New Roman"/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hd w:fill="auto" w:val="clear"/>
                    </w:rPr>
                  </w:r>
                </w:p>
              </w:tc>
              <w:tc>
                <w:tcPr>
                  <w:tcW w:w="1780" w:type="dxa"/>
                  <w:vMerge w:val="continue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>
                  <w:pPr>
                    <w:pStyle w:val="Normal"/>
                    <w:widowControl w:val="false"/>
                    <w:spacing w:before="0" w:after="0"/>
                    <w:rPr>
                      <w:rFonts w:ascii="Times New Roman" w:hAnsi="Times New Roman"/>
                      <w:highlight w:val="none"/>
                      <w:shd w:fill="auto" w:val="clear"/>
                    </w:rPr>
                  </w:pPr>
                  <w:r>
                    <w:rPr>
                      <w:rFonts w:ascii="Times New Roman" w:hAnsi="Times New Roman"/>
                      <w:shd w:fill="auto" w:val="clear"/>
                    </w:rPr>
                  </w:r>
                </w:p>
              </w:tc>
              <w:tc>
                <w:tcPr>
                  <w:tcW w:w="204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инженерных изысканий</w:t>
                  </w:r>
                </w:p>
              </w:tc>
              <w:tc>
                <w:tcPr>
                  <w:tcW w:w="207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проектных работ</w:t>
                  </w:r>
                </w:p>
              </w:tc>
            </w:tr>
            <w:tr>
              <w:trPr>
                <w:trHeight w:val="19" w:hRule="atLeast"/>
              </w:trPr>
              <w:tc>
                <w:tcPr>
                  <w:tcW w:w="96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1</w:t>
                  </w:r>
                </w:p>
              </w:tc>
              <w:tc>
                <w:tcPr>
                  <w:tcW w:w="270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2</w:t>
                  </w:r>
                </w:p>
              </w:tc>
              <w:tc>
                <w:tcPr>
                  <w:tcW w:w="178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>
                  <w:pPr>
                    <w:pStyle w:val="ConsPlusNormal1"/>
                    <w:widowControl w:val="false"/>
                    <w:ind w:firstLine="2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3</w:t>
                  </w:r>
                </w:p>
              </w:tc>
              <w:tc>
                <w:tcPr>
                  <w:tcW w:w="204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4</w:t>
                  </w:r>
                </w:p>
              </w:tc>
              <w:tc>
                <w:tcPr>
                  <w:tcW w:w="207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5</w:t>
                  </w:r>
                </w:p>
              </w:tc>
            </w:tr>
            <w:tr>
              <w:trPr>
                <w:trHeight w:val="274" w:hRule="atLeast"/>
              </w:trPr>
              <w:tc>
                <w:tcPr>
                  <w:tcW w:w="96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I</w:t>
                  </w:r>
                </w:p>
              </w:tc>
              <w:tc>
                <w:tcPr>
                  <w:tcW w:w="270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Инженерные изыскания</w:t>
                  </w:r>
                </w:p>
              </w:tc>
              <w:tc>
                <w:tcPr>
                  <w:tcW w:w="178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  <w:tc>
                <w:tcPr>
                  <w:tcW w:w="204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  <w:tc>
                <w:tcPr>
                  <w:tcW w:w="207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</w:tr>
            <w:tr>
              <w:trPr>
                <w:trHeight w:val="493" w:hRule="atLeast"/>
              </w:trPr>
              <w:tc>
                <w:tcPr>
                  <w:tcW w:w="96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  <w:tc>
                <w:tcPr>
                  <w:tcW w:w="270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Наименование сметы на инженерные изыскания</w:t>
                  </w:r>
                </w:p>
              </w:tc>
              <w:tc>
                <w:tcPr>
                  <w:tcW w:w="178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  <w:tc>
                <w:tcPr>
                  <w:tcW w:w="204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&lt;X&gt;</w:t>
                  </w:r>
                </w:p>
              </w:tc>
              <w:tc>
                <w:tcPr>
                  <w:tcW w:w="207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</w:tr>
            <w:tr>
              <w:trPr>
                <w:trHeight w:val="281" w:hRule="atLeast"/>
              </w:trPr>
              <w:tc>
                <w:tcPr>
                  <w:tcW w:w="96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II</w:t>
                  </w:r>
                </w:p>
              </w:tc>
              <w:tc>
                <w:tcPr>
                  <w:tcW w:w="270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Проектная документация</w:t>
                  </w:r>
                </w:p>
              </w:tc>
              <w:tc>
                <w:tcPr>
                  <w:tcW w:w="178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  <w:tc>
                <w:tcPr>
                  <w:tcW w:w="204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  <w:tc>
                <w:tcPr>
                  <w:tcW w:w="207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</w:tr>
            <w:tr>
              <w:trPr/>
              <w:tc>
                <w:tcPr>
                  <w:tcW w:w="96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  <w:tc>
                <w:tcPr>
                  <w:tcW w:w="270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Наименование сметы на проектные работы</w:t>
                  </w:r>
                </w:p>
              </w:tc>
              <w:tc>
                <w:tcPr>
                  <w:tcW w:w="178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  <w:tc>
                <w:tcPr>
                  <w:tcW w:w="204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  <w:tc>
                <w:tcPr>
                  <w:tcW w:w="207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&lt;X&gt;</w:t>
                  </w:r>
                </w:p>
              </w:tc>
            </w:tr>
            <w:tr>
              <w:trPr>
                <w:trHeight w:val="323" w:hRule="atLeast"/>
              </w:trPr>
              <w:tc>
                <w:tcPr>
                  <w:tcW w:w="96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III</w:t>
                  </w:r>
                </w:p>
              </w:tc>
              <w:tc>
                <w:tcPr>
                  <w:tcW w:w="270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Рабочая документация</w:t>
                  </w:r>
                </w:p>
              </w:tc>
              <w:tc>
                <w:tcPr>
                  <w:tcW w:w="178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  <w:tc>
                <w:tcPr>
                  <w:tcW w:w="204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  <w:tc>
                <w:tcPr>
                  <w:tcW w:w="207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</w:tr>
            <w:tr>
              <w:trPr/>
              <w:tc>
                <w:tcPr>
                  <w:tcW w:w="96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  <w:tc>
                <w:tcPr>
                  <w:tcW w:w="270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Наименование сметы на проектные работы</w:t>
                  </w:r>
                </w:p>
              </w:tc>
              <w:tc>
                <w:tcPr>
                  <w:tcW w:w="178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  <w:tc>
                <w:tcPr>
                  <w:tcW w:w="204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  <w:tc>
                <w:tcPr>
                  <w:tcW w:w="207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&lt;X&gt;</w:t>
                  </w:r>
                </w:p>
              </w:tc>
            </w:tr>
            <w:tr>
              <w:trPr/>
              <w:tc>
                <w:tcPr>
                  <w:tcW w:w="96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  <w:tc>
                <w:tcPr>
                  <w:tcW w:w="270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bottom"/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Итого по видам работ</w:t>
                  </w:r>
                </w:p>
              </w:tc>
              <w:tc>
                <w:tcPr>
                  <w:tcW w:w="178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  <w:tc>
                <w:tcPr>
                  <w:tcW w:w="204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&lt;X&gt;</w:t>
                  </w:r>
                </w:p>
              </w:tc>
              <w:tc>
                <w:tcPr>
                  <w:tcW w:w="207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&lt;X&gt;</w:t>
                  </w:r>
                </w:p>
              </w:tc>
            </w:tr>
            <w:tr>
              <w:trPr/>
              <w:tc>
                <w:tcPr>
                  <w:tcW w:w="96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  <w:tc>
                <w:tcPr>
                  <w:tcW w:w="270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>
                  <w:pPr>
                    <w:pStyle w:val="ConsPlusNormal1"/>
                    <w:widowControl w:val="false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ВСЕГО</w:t>
                  </w:r>
                </w:p>
              </w:tc>
              <w:tc>
                <w:tcPr>
                  <w:tcW w:w="178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jc w:val="center"/>
                    <w:rPr>
                      <w:rFonts w:ascii="Times New Roman" w:hAnsi="Times New Roman" w:cs="Times New Roman"/>
                      <w:sz w:val="22"/>
                      <w:szCs w:val="22"/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</w:r>
                </w:p>
              </w:tc>
              <w:tc>
                <w:tcPr>
                  <w:tcW w:w="4123" w:type="dxa"/>
                  <w:gridSpan w:val="2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>
                  <w:pPr>
                    <w:pStyle w:val="ConsPlusNormal1"/>
                    <w:widowControl w:val="false"/>
                    <w:ind w:hanging="0"/>
                    <w:jc w:val="center"/>
                    <w:rPr>
                      <w:highlight w:val="none"/>
                      <w:shd w:fill="auto" w:val="clear"/>
                    </w:rPr>
                  </w:pPr>
                  <w:r>
                    <w:rPr>
                      <w:rFonts w:cs="Times New Roman" w:ascii="Times New Roman" w:hAnsi="Times New Roman"/>
                      <w:sz w:val="22"/>
                      <w:szCs w:val="22"/>
                      <w:shd w:fill="auto" w:val="clear"/>
                    </w:rPr>
                    <w:t>&lt;X&gt;</w:t>
                  </w:r>
                </w:p>
              </w:tc>
            </w:tr>
          </w:tbl>
          <w:p>
            <w:pPr>
              <w:pStyle w:val="ConsPlusNormal1"/>
              <w:widowControl w:val="false"/>
              <w:ind w:right="-5522" w:firstLine="720"/>
              <w:rPr>
                <w:rFonts w:ascii="Times New Roman" w:hAnsi="Times New Roman" w:cs="Times New Roman"/>
                <w:sz w:val="22"/>
                <w:szCs w:val="22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z w:val="22"/>
                <w:szCs w:val="22"/>
                <w:shd w:fill="auto" w:val="clear"/>
              </w:rPr>
            </w:r>
          </w:p>
        </w:tc>
        <w:tc>
          <w:tcPr>
            <w:tcW w:w="3199" w:type="dxa"/>
            <w:gridSpan w:val="4"/>
            <w:tcBorders/>
          </w:tcPr>
          <w:p>
            <w:pPr>
              <w:pStyle w:val="ConsPlusNormal1"/>
              <w:widowControl w:val="false"/>
              <w:jc w:val="center"/>
              <w:rPr>
                <w:rFonts w:ascii="Times New Roman" w:hAnsi="Times New Roman" w:cs="Times New Roman"/>
                <w:sz w:val="22"/>
                <w:szCs w:val="22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z w:val="22"/>
                <w:szCs w:val="22"/>
                <w:shd w:fill="auto" w:val="clear"/>
              </w:rPr>
            </w:r>
          </w:p>
        </w:tc>
      </w:tr>
    </w:tbl>
    <w:p>
      <w:pPr>
        <w:pStyle w:val="Normal"/>
        <w:spacing w:lineRule="auto" w:line="240" w:before="0" w:after="0"/>
        <w:jc w:val="both"/>
        <w:rPr>
          <w:rFonts w:ascii="Times New Roman" w:hAnsi="Times New Roman"/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</w:r>
    </w:p>
    <w:p>
      <w:pPr>
        <w:pStyle w:val="Normal"/>
        <w:spacing w:lineRule="auto" w:line="240" w:before="0" w:after="0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Руководитель проектной организации _____________________________________________</w:t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i/>
          <w:iCs/>
          <w:shd w:fill="auto" w:val="clear"/>
        </w:rPr>
        <w:t>[подпись (инициалы, фамилия)]</w:t>
      </w:r>
    </w:p>
    <w:p>
      <w:pPr>
        <w:pStyle w:val="Normal"/>
        <w:spacing w:lineRule="auto" w:line="240" w:before="0" w:after="0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Главный инженер проекта _______________________________________________________</w:t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i/>
          <w:iCs/>
          <w:shd w:fill="auto" w:val="clear"/>
        </w:rPr>
        <w:t>[подпись (инициалы, фамилия)]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/>
          <w:i/>
          <w:i/>
          <w:iCs/>
          <w:highlight w:val="none"/>
          <w:shd w:fill="auto" w:val="clear"/>
        </w:rPr>
      </w:pPr>
      <w:r>
        <w:rPr>
          <w:rFonts w:ascii="Times New Roman" w:hAnsi="Times New Roman"/>
          <w:i/>
          <w:iCs/>
          <w:shd w:fill="auto" w:val="clear"/>
        </w:rPr>
      </w:r>
    </w:p>
    <w:p>
      <w:pPr>
        <w:pStyle w:val="Normal"/>
        <w:spacing w:lineRule="auto" w:line="240" w:before="0" w:after="0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Начальник ___________________ отдела __________________________________________</w:t>
      </w:r>
    </w:p>
    <w:p>
      <w:pPr>
        <w:pStyle w:val="Normal"/>
        <w:spacing w:lineRule="auto" w:line="240" w:before="0" w:after="0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 xml:space="preserve">                             </w:t>
      </w:r>
      <w:r>
        <w:rPr>
          <w:rFonts w:ascii="Times New Roman" w:hAnsi="Times New Roman"/>
          <w:i/>
          <w:iCs/>
          <w:shd w:fill="auto" w:val="clear"/>
        </w:rPr>
        <w:t>(наименование)                            [подпись (инициалы, фамилия)]</w:t>
      </w:r>
    </w:p>
    <w:p>
      <w:pPr>
        <w:pStyle w:val="Normal"/>
        <w:spacing w:lineRule="auto" w:line="240" w:before="0" w:after="0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Заказчик _____________________________________________________________________</w:t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i/>
          <w:iCs/>
          <w:shd w:fill="auto" w:val="clear"/>
        </w:rPr>
        <w:t>[должность, подпись (инициалы, фамилия)]</w:t>
      </w:r>
    </w:p>
    <w:p>
      <w:pPr>
        <w:pStyle w:val="Normal"/>
        <w:spacing w:lineRule="auto" w:line="240" w:before="0" w:after="0"/>
        <w:rPr>
          <w:rFonts w:ascii="Times New Roman" w:hAnsi="Times New Roman"/>
          <w:i/>
          <w:i/>
          <w:iCs/>
          <w:highlight w:val="none"/>
          <w:shd w:fill="auto" w:val="clear"/>
        </w:rPr>
      </w:pPr>
      <w:r>
        <w:rPr>
          <w:rFonts w:ascii="Times New Roman" w:hAnsi="Times New Roman"/>
          <w:i/>
          <w:iCs/>
          <w:shd w:fill="auto" w:val="clear"/>
        </w:rPr>
      </w:r>
      <w:r>
        <w:br w:type="page"/>
      </w:r>
    </w:p>
    <w:p>
      <w:pPr>
        <w:pStyle w:val="Normal"/>
        <w:spacing w:lineRule="auto" w:line="240" w:before="0" w:after="0"/>
        <w:ind w:left="5811" w:hanging="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Приложение №1</w:t>
      </w:r>
    </w:p>
    <w:p>
      <w:pPr>
        <w:pStyle w:val="Normal"/>
        <w:spacing w:lineRule="auto" w:line="240" w:before="0" w:after="0"/>
        <w:ind w:left="5811" w:hanging="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к пояснительной записке</w:t>
      </w:r>
    </w:p>
    <w:p>
      <w:pPr>
        <w:pStyle w:val="Normal"/>
        <w:spacing w:lineRule="auto" w:line="240" w:before="0" w:after="0"/>
        <w:ind w:left="5811" w:hanging="0"/>
        <w:jc w:val="right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 xml:space="preserve"> </w:t>
      </w:r>
      <w:r>
        <w:rPr>
          <w:rFonts w:ascii="Times New Roman" w:hAnsi="Times New Roman"/>
          <w:shd w:fill="auto" w:val="clear"/>
        </w:rPr>
        <w:t>по заполнению формы 3П</w:t>
      </w:r>
    </w:p>
    <w:p>
      <w:pPr>
        <w:pStyle w:val="Normal"/>
        <w:spacing w:lineRule="auto" w:line="240" w:before="0" w:after="0"/>
        <w:ind w:left="6373" w:hanging="0"/>
        <w:rPr>
          <w:rFonts w:ascii="Times New Roman" w:hAnsi="Times New Roman"/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Образец сметы</w:t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на проектные работы в соответствии</w:t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с калькуляцией затрат (форма 3п)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/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СМЕТА №</w:t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на проектные работы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/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</w:r>
    </w:p>
    <w:p>
      <w:pPr>
        <w:pStyle w:val="Normal"/>
        <w:spacing w:lineRule="auto" w:line="240" w:before="0" w:after="0"/>
        <w:ind w:right="1246" w:firstLine="1134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___________________________________________________________</w:t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i/>
          <w:iCs/>
          <w:shd w:fill="auto" w:val="clear"/>
        </w:rPr>
        <w:t>(наименование объекта)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/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</w:r>
    </w:p>
    <w:p>
      <w:pPr>
        <w:pStyle w:val="Normal"/>
        <w:spacing w:lineRule="auto" w:line="240" w:before="0" w:after="0"/>
        <w:ind w:right="142" w:hanging="0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Заказчик ________________________________________________________________</w:t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i/>
          <w:iCs/>
          <w:shd w:fill="auto" w:val="clear"/>
        </w:rPr>
        <w:t>(наименование организации)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/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</w:r>
    </w:p>
    <w:p>
      <w:pPr>
        <w:pStyle w:val="Normal"/>
        <w:spacing w:lineRule="auto" w:line="240" w:before="0" w:after="0"/>
        <w:ind w:right="1246" w:hanging="0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Проектная организация ___________________________________________________</w:t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i/>
          <w:iCs/>
          <w:shd w:fill="auto" w:val="clear"/>
        </w:rPr>
        <w:t>(наименование организации)</w:t>
      </w:r>
    </w:p>
    <w:p>
      <w:pPr>
        <w:pStyle w:val="Normal"/>
        <w:spacing w:lineRule="auto" w:line="240" w:before="0" w:after="0"/>
        <w:ind w:right="1246" w:hanging="0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Составлена в уровне цен на ___________ 20__ г.</w:t>
      </w:r>
    </w:p>
    <w:p>
      <w:pPr>
        <w:pStyle w:val="ConsPlusNonformat"/>
        <w:jc w:val="both"/>
        <w:rPr>
          <w:rFonts w:ascii="Times New Roman" w:hAnsi="Times New Roman" w:cs="Times New Roman"/>
          <w:sz w:val="22"/>
          <w:szCs w:val="22"/>
          <w:highlight w:val="none"/>
          <w:shd w:fill="auto" w:val="clear"/>
        </w:rPr>
      </w:pPr>
      <w:r>
        <w:rPr>
          <w:rFonts w:cs="Times New Roman" w:ascii="Times New Roman" w:hAnsi="Times New Roman"/>
          <w:sz w:val="22"/>
          <w:szCs w:val="22"/>
          <w:shd w:fill="auto" w:val="clear"/>
        </w:rPr>
      </w:r>
    </w:p>
    <w:p>
      <w:pPr>
        <w:pStyle w:val="ConsPlusNonformat"/>
        <w:jc w:val="both"/>
        <w:rPr>
          <w:rFonts w:ascii="Times New Roman" w:hAnsi="Times New Roman" w:cs="Times New Roman"/>
          <w:sz w:val="22"/>
          <w:szCs w:val="22"/>
          <w:highlight w:val="none"/>
          <w:shd w:fill="auto" w:val="clear"/>
        </w:rPr>
      </w:pPr>
      <w:r>
        <w:rPr>
          <w:rFonts w:cs="Times New Roman" w:ascii="Times New Roman" w:hAnsi="Times New Roman"/>
          <w:sz w:val="22"/>
          <w:szCs w:val="22"/>
          <w:shd w:fill="auto" w:val="clear"/>
        </w:rPr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Расчет коэффициента, учитывающего степень</w:t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участия исполнителей-проектировщиков различной</w:t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квалификации в выполнении проектных работ (Ккв-уч)</w:t>
      </w:r>
    </w:p>
    <w:tbl>
      <w:tblPr>
        <w:tblW w:w="10055" w:type="dxa"/>
        <w:jc w:val="left"/>
        <w:tblInd w:w="0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noVBand="1" w:noHBand="0" w:lastColumn="0" w:firstColumn="1" w:lastRow="0" w:firstRow="1"/>
      </w:tblPr>
      <w:tblGrid>
        <w:gridCol w:w="557"/>
        <w:gridCol w:w="1407"/>
        <w:gridCol w:w="1570"/>
        <w:gridCol w:w="1985"/>
        <w:gridCol w:w="1559"/>
        <w:gridCol w:w="1418"/>
        <w:gridCol w:w="1558"/>
      </w:tblGrid>
      <w:tr>
        <w:trPr/>
        <w:tc>
          <w:tcPr>
            <w:tcW w:w="5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ConsPlusNormal1"/>
              <w:widowControl w:val="false"/>
              <w:ind w:hanging="0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N п/п</w:t>
            </w:r>
          </w:p>
        </w:tc>
        <w:tc>
          <w:tcPr>
            <w:tcW w:w="140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Наименование должностей исполнителей</w:t>
            </w:r>
          </w:p>
        </w:tc>
        <w:tc>
          <w:tcPr>
            <w:tcW w:w="157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ConsPlusNormal1"/>
              <w:widowControl w:val="false"/>
              <w:ind w:firstLine="67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Фактическое время участия исполнителя в работе, Тф (дни)</w:t>
            </w:r>
          </w:p>
        </w:tc>
        <w:tc>
          <w:tcPr>
            <w:tcW w:w="198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ConsPlusNormal1"/>
              <w:widowControl w:val="false"/>
              <w:ind w:firstLine="5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Плановая продолжительность выполнения проектных работ, предусмотренных калькуляцией, Тп (дни)</w:t>
            </w:r>
          </w:p>
        </w:tc>
        <w:tc>
          <w:tcPr>
            <w:tcW w:w="1559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ConsPlusNormal1"/>
              <w:widowControl w:val="false"/>
              <w:ind w:hanging="56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Численность исполнителей одной квалификации Чi (чел)</w:t>
            </w:r>
          </w:p>
        </w:tc>
        <w:tc>
          <w:tcPr>
            <w:tcW w:w="141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ConsPlusNormal1"/>
              <w:widowControl w:val="false"/>
              <w:ind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Индекс уровня квалификации специалистов исполнителей работы И</w:t>
            </w:r>
            <w:r>
              <w:rPr>
                <w:rFonts w:cs="Times New Roman" w:ascii="Times New Roman" w:hAnsi="Times New Roman"/>
                <w:shd w:fill="auto" w:val="clear"/>
                <w:lang w:val="en-US"/>
              </w:rPr>
              <w:t>i</w:t>
            </w:r>
          </w:p>
        </w:tc>
        <w:tc>
          <w:tcPr>
            <w:tcW w:w="155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>
            <w:pPr>
              <w:pStyle w:val="ConsPlusNormal1"/>
              <w:widowControl w:val="false"/>
              <w:ind w:firstLine="6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Коэффициент квалификации (участия) специалистов одной квалификации,</w:t>
            </w:r>
          </w:p>
          <w:p>
            <w:pPr>
              <w:pStyle w:val="ConsPlusNormal1"/>
              <w:widowControl w:val="false"/>
              <w:ind w:firstLine="6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∑</w:t>
            </w:r>
            <w:r>
              <w:rPr>
                <w:rFonts w:cs="Times New Roman" w:ascii="Times New Roman" w:hAnsi="Times New Roman"/>
                <w:shd w:fill="auto" w:val="clear"/>
              </w:rPr>
              <w:t>(гр.3/итог гр.4 х гр.5 х гр.6) / ∑гр.5</w:t>
            </w:r>
          </w:p>
        </w:tc>
      </w:tr>
      <w:tr>
        <w:trPr/>
        <w:tc>
          <w:tcPr>
            <w:tcW w:w="55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81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1</w:t>
            </w:r>
          </w:p>
        </w:tc>
        <w:tc>
          <w:tcPr>
            <w:tcW w:w="1407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2</w:t>
            </w:r>
          </w:p>
        </w:tc>
        <w:tc>
          <w:tcPr>
            <w:tcW w:w="1570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3</w:t>
            </w:r>
          </w:p>
        </w:tc>
        <w:tc>
          <w:tcPr>
            <w:tcW w:w="1985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4</w:t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5</w:t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6</w:t>
            </w:r>
          </w:p>
        </w:tc>
        <w:tc>
          <w:tcPr>
            <w:tcW w:w="1558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7</w:t>
            </w:r>
          </w:p>
        </w:tc>
      </w:tr>
      <w:tr>
        <w:trPr/>
        <w:tc>
          <w:tcPr>
            <w:tcW w:w="55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407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570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985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51"/>
              <w:jc w:val="center"/>
              <w:rPr/>
            </w:pPr>
            <w:hyperlink w:anchor="P3816">
              <w:r>
                <w:rPr>
                  <w:rStyle w:val="Hyperlink"/>
                  <w:rFonts w:cs="Times New Roman" w:ascii="Times New Roman" w:hAnsi="Times New Roman"/>
                  <w:shd w:fill="auto" w:val="clear"/>
                </w:rPr>
                <w:t>*</w:t>
              </w:r>
            </w:hyperlink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558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</w:tr>
      <w:tr>
        <w:trPr/>
        <w:tc>
          <w:tcPr>
            <w:tcW w:w="55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407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570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985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51"/>
              <w:jc w:val="center"/>
              <w:rPr/>
            </w:pPr>
            <w:hyperlink w:anchor="P3816">
              <w:r>
                <w:rPr>
                  <w:rStyle w:val="Hyperlink"/>
                  <w:rFonts w:cs="Times New Roman" w:ascii="Times New Roman" w:hAnsi="Times New Roman"/>
                  <w:shd w:fill="auto" w:val="clear"/>
                </w:rPr>
                <w:t>*</w:t>
              </w:r>
            </w:hyperlink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558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</w:tr>
      <w:tr>
        <w:trPr/>
        <w:tc>
          <w:tcPr>
            <w:tcW w:w="55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407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570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985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51"/>
              <w:jc w:val="center"/>
              <w:rPr/>
            </w:pPr>
            <w:hyperlink w:anchor="P3816">
              <w:r>
                <w:rPr>
                  <w:rStyle w:val="Hyperlink"/>
                  <w:rFonts w:cs="Times New Roman" w:ascii="Times New Roman" w:hAnsi="Times New Roman"/>
                  <w:shd w:fill="auto" w:val="clear"/>
                </w:rPr>
                <w:t>*</w:t>
              </w:r>
            </w:hyperlink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558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</w:tr>
      <w:tr>
        <w:trPr/>
        <w:tc>
          <w:tcPr>
            <w:tcW w:w="55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407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jc w:val="right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Итого</w:t>
            </w:r>
          </w:p>
        </w:tc>
        <w:tc>
          <w:tcPr>
            <w:tcW w:w="1570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/>
            </w:pPr>
            <w:hyperlink w:anchor="P3816">
              <w:r>
                <w:rPr>
                  <w:rStyle w:val="Hyperlink"/>
                  <w:rFonts w:cs="Times New Roman" w:ascii="Times New Roman" w:hAnsi="Times New Roman"/>
                  <w:shd w:fill="auto" w:val="clear"/>
                </w:rPr>
                <w:t>*</w:t>
              </w:r>
            </w:hyperlink>
          </w:p>
        </w:tc>
        <w:tc>
          <w:tcPr>
            <w:tcW w:w="1985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51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559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418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/>
            </w:pPr>
            <w:hyperlink w:anchor="P3816">
              <w:r>
                <w:rPr>
                  <w:rStyle w:val="Hyperlink"/>
                  <w:rFonts w:cs="Times New Roman" w:ascii="Times New Roman" w:hAnsi="Times New Roman"/>
                  <w:shd w:fill="auto" w:val="clear"/>
                </w:rPr>
                <w:t>*</w:t>
              </w:r>
            </w:hyperlink>
          </w:p>
        </w:tc>
        <w:tc>
          <w:tcPr>
            <w:tcW w:w="1558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</w:tr>
    </w:tbl>
    <w:p>
      <w:pPr>
        <w:sectPr>
          <w:footerReference w:type="default" r:id="rId31"/>
          <w:footerReference w:type="first" r:id="rId32"/>
          <w:footnotePr>
            <w:numFmt w:val="decimal"/>
            <w:numRestart w:val="eachSect"/>
          </w:footnotePr>
          <w:type w:val="nextPage"/>
          <w:pgSz w:w="11906" w:h="16838"/>
          <w:pgMar w:left="1418" w:right="851" w:gutter="0" w:header="0" w:top="1134" w:footer="709" w:bottom="1134"/>
          <w:pgNumType w:fmt="decimal"/>
          <w:formProt w:val="false"/>
          <w:textDirection w:val="lrTb"/>
          <w:docGrid w:type="default" w:linePitch="360" w:charSpace="0"/>
        </w:sectPr>
        <w:pStyle w:val="ConsPlusNonformat"/>
        <w:jc w:val="both"/>
        <w:rPr>
          <w:highlight w:val="none"/>
          <w:shd w:fill="auto" w:val="clear"/>
        </w:rPr>
      </w:pPr>
      <w:r>
        <w:rPr>
          <w:rFonts w:cs="Times New Roman" w:ascii="Times New Roman" w:hAnsi="Times New Roman"/>
          <w:sz w:val="22"/>
          <w:szCs w:val="22"/>
          <w:shd w:fill="auto" w:val="clear"/>
        </w:rPr>
        <w:t>Примечание: &lt;*&gt; Графы для расчета коэффициента в таблице не заполняются</w:t>
      </w:r>
      <w:r>
        <w:br w:type="page"/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Расчет стоимости проектных работ в соответствии</w:t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с калькуляцией затрат на проектирование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/>
          <w:sz w:val="24"/>
          <w:szCs w:val="24"/>
          <w:highlight w:val="none"/>
          <w:shd w:fill="auto" w:val="clear"/>
        </w:rPr>
      </w:pPr>
      <w:r>
        <w:rPr>
          <w:rFonts w:ascii="Times New Roman" w:hAnsi="Times New Roman"/>
          <w:sz w:val="24"/>
          <w:szCs w:val="24"/>
          <w:shd w:fill="auto" w:val="clear"/>
        </w:rPr>
      </w:r>
    </w:p>
    <w:tbl>
      <w:tblPr>
        <w:tblW w:w="15501" w:type="dxa"/>
        <w:jc w:val="left"/>
        <w:tblInd w:w="-719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noVBand="1" w:noHBand="0" w:lastColumn="0" w:firstColumn="1" w:lastRow="0" w:firstRow="1"/>
      </w:tblPr>
      <w:tblGrid>
        <w:gridCol w:w="1833"/>
        <w:gridCol w:w="1276"/>
        <w:gridCol w:w="1700"/>
        <w:gridCol w:w="1845"/>
        <w:gridCol w:w="1133"/>
        <w:gridCol w:w="1702"/>
        <w:gridCol w:w="1415"/>
        <w:gridCol w:w="1702"/>
        <w:gridCol w:w="1619"/>
        <w:gridCol w:w="1274"/>
      </w:tblGrid>
      <w:tr>
        <w:trPr/>
        <w:tc>
          <w:tcPr>
            <w:tcW w:w="183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Среднемесячная зарплата исполнителей, руб.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Кол-во рабочих дней в месяце, дни</w:t>
            </w:r>
          </w:p>
        </w:tc>
        <w:tc>
          <w:tcPr>
            <w:tcW w:w="170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Среднедневная зарплата исполнителей, руб.</w:t>
            </w:r>
          </w:p>
          <w:p>
            <w:pPr>
              <w:pStyle w:val="ConsPlusNormal1"/>
              <w:widowControl w:val="false"/>
              <w:ind w:firstLine="60"/>
              <w:jc w:val="center"/>
              <w:rPr/>
            </w:pPr>
            <w:r>
              <w:rPr>
                <w:rFonts w:cs="Times New Roman" w:ascii="Times New Roman" w:hAnsi="Times New Roman"/>
                <w:shd w:fill="auto" w:val="clear"/>
              </w:rPr>
              <w:t>(</w:t>
            </w:r>
            <w:hyperlink w:anchor="P3831">
              <w:r>
                <w:rPr>
                  <w:rStyle w:val="Hyperlink"/>
                  <w:rFonts w:cs="Times New Roman" w:ascii="Times New Roman" w:hAnsi="Times New Roman"/>
                  <w:shd w:fill="auto" w:val="clear"/>
                </w:rPr>
                <w:t>гр 1</w:t>
              </w:r>
            </w:hyperlink>
            <w:r>
              <w:rPr>
                <w:rFonts w:cs="Times New Roman" w:ascii="Times New Roman" w:hAnsi="Times New Roman"/>
                <w:shd w:fill="auto" w:val="clear"/>
              </w:rPr>
              <w:t xml:space="preserve"> / </w:t>
            </w:r>
            <w:hyperlink w:anchor="P3832">
              <w:r>
                <w:rPr>
                  <w:rStyle w:val="Hyperlink"/>
                  <w:rFonts w:cs="Times New Roman" w:ascii="Times New Roman" w:hAnsi="Times New Roman"/>
                  <w:shd w:fill="auto" w:val="clear"/>
                </w:rPr>
                <w:t>гр 2</w:t>
              </w:r>
            </w:hyperlink>
            <w:r>
              <w:rPr>
                <w:rFonts w:cs="Times New Roman" w:ascii="Times New Roman" w:hAnsi="Times New Roman"/>
                <w:shd w:fill="auto" w:val="clear"/>
              </w:rPr>
              <w:t>)</w:t>
            </w:r>
          </w:p>
        </w:tc>
        <w:tc>
          <w:tcPr>
            <w:tcW w:w="184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Удельный вес зарплаты в себестоимости работ - Кз, %</w:t>
            </w:r>
          </w:p>
        </w:tc>
        <w:tc>
          <w:tcPr>
            <w:tcW w:w="1133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Рентабель-ность, %</w:t>
            </w:r>
          </w:p>
        </w:tc>
        <w:tc>
          <w:tcPr>
            <w:tcW w:w="1702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/>
            </w:pPr>
            <w:r>
              <w:rPr>
                <w:rFonts w:cs="Times New Roman" w:ascii="Times New Roman" w:hAnsi="Times New Roman"/>
                <w:shd w:fill="auto" w:val="clear"/>
              </w:rPr>
              <w:t>Среднедневная единичная выработка, руб. (</w:t>
            </w:r>
            <w:hyperlink w:anchor="P3833">
              <w:r>
                <w:rPr>
                  <w:rStyle w:val="Hyperlink"/>
                  <w:rFonts w:cs="Times New Roman" w:ascii="Times New Roman" w:hAnsi="Times New Roman"/>
                  <w:shd w:fill="auto" w:val="clear"/>
                </w:rPr>
                <w:t>гр. 3</w:t>
              </w:r>
            </w:hyperlink>
            <w:r>
              <w:rPr>
                <w:rFonts w:cs="Times New Roman" w:ascii="Times New Roman" w:hAnsi="Times New Roman"/>
                <w:shd w:fill="auto" w:val="clear"/>
              </w:rPr>
              <w:t xml:space="preserve"> x (1 + </w:t>
            </w:r>
            <w:hyperlink w:anchor="P3835">
              <w:r>
                <w:rPr>
                  <w:rStyle w:val="Hyperlink"/>
                  <w:rFonts w:cs="Times New Roman" w:ascii="Times New Roman" w:hAnsi="Times New Roman"/>
                  <w:shd w:fill="auto" w:val="clear"/>
                </w:rPr>
                <w:t>гр. 5</w:t>
              </w:r>
            </w:hyperlink>
            <w:r>
              <w:rPr>
                <w:rFonts w:cs="Times New Roman" w:ascii="Times New Roman" w:hAnsi="Times New Roman"/>
                <w:shd w:fill="auto" w:val="clear"/>
              </w:rPr>
              <w:t xml:space="preserve">)) / </w:t>
            </w:r>
            <w:hyperlink w:anchor="P3834">
              <w:r>
                <w:rPr>
                  <w:rStyle w:val="Hyperlink"/>
                  <w:rFonts w:cs="Times New Roman" w:ascii="Times New Roman" w:hAnsi="Times New Roman"/>
                  <w:shd w:fill="auto" w:val="clear"/>
                </w:rPr>
                <w:t>гр. 4</w:t>
              </w:r>
            </w:hyperlink>
          </w:p>
        </w:tc>
        <w:tc>
          <w:tcPr>
            <w:tcW w:w="141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Продолжи-тельность разработки (дни)</w:t>
            </w:r>
          </w:p>
        </w:tc>
        <w:tc>
          <w:tcPr>
            <w:tcW w:w="1702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Численность исполнителей (чел.)</w:t>
            </w:r>
          </w:p>
        </w:tc>
        <w:tc>
          <w:tcPr>
            <w:tcW w:w="1619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 xml:space="preserve">Коэффициент квалификации (участия) </w:t>
            </w:r>
          </w:p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Ккв-уч</w:t>
            </w:r>
          </w:p>
        </w:tc>
        <w:tc>
          <w:tcPr>
            <w:tcW w:w="127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 xml:space="preserve">Стоимость работ, руб. </w:t>
            </w:r>
          </w:p>
          <w:p>
            <w:pPr>
              <w:pStyle w:val="ConsPlusNormal1"/>
              <w:widowControl w:val="false"/>
              <w:ind w:firstLine="60"/>
              <w:jc w:val="center"/>
              <w:rPr/>
            </w:pPr>
            <w:r>
              <w:rPr>
                <w:rFonts w:cs="Times New Roman" w:ascii="Times New Roman" w:hAnsi="Times New Roman"/>
                <w:shd w:fill="auto" w:val="clear"/>
              </w:rPr>
              <w:t>С = (</w:t>
            </w:r>
            <w:hyperlink w:anchor="P3836">
              <w:r>
                <w:rPr>
                  <w:rStyle w:val="Hyperlink"/>
                  <w:rFonts w:cs="Times New Roman" w:ascii="Times New Roman" w:hAnsi="Times New Roman"/>
                  <w:shd w:fill="auto" w:val="clear"/>
                </w:rPr>
                <w:t>гр. 6</w:t>
              </w:r>
            </w:hyperlink>
            <w:r>
              <w:rPr>
                <w:rFonts w:cs="Times New Roman" w:ascii="Times New Roman" w:hAnsi="Times New Roman"/>
                <w:shd w:fill="auto" w:val="clear"/>
              </w:rPr>
              <w:t xml:space="preserve"> x </w:t>
            </w:r>
            <w:hyperlink w:anchor="P3837">
              <w:r>
                <w:rPr>
                  <w:rStyle w:val="Hyperlink"/>
                  <w:rFonts w:cs="Times New Roman" w:ascii="Times New Roman" w:hAnsi="Times New Roman"/>
                  <w:shd w:fill="auto" w:val="clear"/>
                </w:rPr>
                <w:t>гр. 7</w:t>
              </w:r>
            </w:hyperlink>
            <w:r>
              <w:rPr>
                <w:rFonts w:cs="Times New Roman" w:ascii="Times New Roman" w:hAnsi="Times New Roman"/>
                <w:shd w:fill="auto" w:val="clear"/>
              </w:rPr>
              <w:t xml:space="preserve"> x </w:t>
            </w:r>
            <w:hyperlink w:anchor="P3838">
              <w:r>
                <w:rPr>
                  <w:rStyle w:val="Hyperlink"/>
                  <w:rFonts w:cs="Times New Roman" w:ascii="Times New Roman" w:hAnsi="Times New Roman"/>
                  <w:shd w:fill="auto" w:val="clear"/>
                </w:rPr>
                <w:t>гр. 8</w:t>
              </w:r>
            </w:hyperlink>
            <w:r>
              <w:rPr>
                <w:rFonts w:cs="Times New Roman" w:ascii="Times New Roman" w:hAnsi="Times New Roman"/>
                <w:shd w:fill="auto" w:val="clear"/>
              </w:rPr>
              <w:t xml:space="preserve"> x </w:t>
            </w:r>
            <w:hyperlink w:anchor="P3839">
              <w:r>
                <w:rPr>
                  <w:rStyle w:val="Hyperlink"/>
                  <w:rFonts w:cs="Times New Roman" w:ascii="Times New Roman" w:hAnsi="Times New Roman"/>
                  <w:shd w:fill="auto" w:val="clear"/>
                </w:rPr>
                <w:t>гр. 9</w:t>
              </w:r>
            </w:hyperlink>
            <w:r>
              <w:rPr>
                <w:rFonts w:cs="Times New Roman" w:ascii="Times New Roman" w:hAnsi="Times New Roman"/>
                <w:shd w:fill="auto" w:val="clear"/>
              </w:rPr>
              <w:t>)</w:t>
            </w:r>
          </w:p>
        </w:tc>
      </w:tr>
      <w:tr>
        <w:trPr/>
        <w:tc>
          <w:tcPr>
            <w:tcW w:w="183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1</w:t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2</w:t>
            </w:r>
          </w:p>
        </w:tc>
        <w:tc>
          <w:tcPr>
            <w:tcW w:w="1700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57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3</w:t>
            </w:r>
          </w:p>
        </w:tc>
        <w:tc>
          <w:tcPr>
            <w:tcW w:w="1845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4</w:t>
            </w:r>
          </w:p>
        </w:tc>
        <w:tc>
          <w:tcPr>
            <w:tcW w:w="1133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5</w:t>
            </w:r>
          </w:p>
        </w:tc>
        <w:tc>
          <w:tcPr>
            <w:tcW w:w="1702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6</w:t>
            </w:r>
          </w:p>
        </w:tc>
        <w:tc>
          <w:tcPr>
            <w:tcW w:w="1415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7</w:t>
            </w:r>
          </w:p>
        </w:tc>
        <w:tc>
          <w:tcPr>
            <w:tcW w:w="1702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8</w:t>
            </w:r>
          </w:p>
        </w:tc>
        <w:tc>
          <w:tcPr>
            <w:tcW w:w="1619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9</w:t>
            </w:r>
          </w:p>
        </w:tc>
        <w:tc>
          <w:tcPr>
            <w:tcW w:w="1274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3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10</w:t>
            </w:r>
          </w:p>
        </w:tc>
      </w:tr>
      <w:tr>
        <w:trPr/>
        <w:tc>
          <w:tcPr>
            <w:tcW w:w="1833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276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700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845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133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hanging="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702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415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702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619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274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</w:tr>
    </w:tbl>
    <w:p>
      <w:pPr>
        <w:pStyle w:val="ConsPlusNormal1"/>
        <w:jc w:val="both"/>
        <w:rPr>
          <w:rFonts w:ascii="Times New Roman" w:hAnsi="Times New Roman" w:eastAsia="Calibri" w:cs="Times New Roman" w:eastAsiaTheme="minorHAnsi"/>
          <w:sz w:val="24"/>
          <w:szCs w:val="24"/>
          <w:highlight w:val="none"/>
          <w:shd w:fill="auto" w:val="clear"/>
        </w:rPr>
      </w:pPr>
      <w:r>
        <w:rPr>
          <w:rFonts w:eastAsia="Calibri" w:cs="Times New Roman" w:eastAsiaTheme="minorHAnsi" w:ascii="Times New Roman" w:hAnsi="Times New Roman"/>
          <w:sz w:val="24"/>
          <w:szCs w:val="24"/>
          <w:shd w:fill="auto" w:val="clear"/>
        </w:rPr>
      </w:r>
    </w:p>
    <w:p>
      <w:pPr>
        <w:pStyle w:val="Normal"/>
        <w:spacing w:lineRule="auto" w:line="240" w:before="0" w:after="0"/>
        <w:ind w:right="2947" w:hanging="0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Руководитель</w:t>
      </w:r>
    </w:p>
    <w:p>
      <w:pPr>
        <w:pStyle w:val="Normal"/>
        <w:spacing w:lineRule="auto" w:line="240" w:before="0" w:after="0"/>
        <w:ind w:right="2947" w:hanging="0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проектной организации _______________________________________________________________________________</w:t>
      </w:r>
    </w:p>
    <w:p>
      <w:pPr>
        <w:pStyle w:val="Normal"/>
        <w:spacing w:lineRule="auto" w:line="240" w:before="0" w:after="0"/>
        <w:ind w:right="2947" w:hanging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i/>
          <w:iCs/>
          <w:shd w:fill="auto" w:val="clear"/>
        </w:rPr>
        <w:t>[подпись (инициалы, фамилия)]</w:t>
      </w:r>
    </w:p>
    <w:p>
      <w:pPr>
        <w:pStyle w:val="Normal"/>
        <w:spacing w:lineRule="auto" w:line="240" w:before="0" w:after="0"/>
        <w:ind w:right="2947" w:hanging="0"/>
        <w:jc w:val="both"/>
        <w:rPr>
          <w:rFonts w:ascii="Times New Roman" w:hAnsi="Times New Roman"/>
          <w:i/>
          <w:i/>
          <w:iCs/>
          <w:highlight w:val="none"/>
          <w:shd w:fill="auto" w:val="clear"/>
        </w:rPr>
      </w:pPr>
      <w:r>
        <w:rPr>
          <w:rFonts w:ascii="Times New Roman" w:hAnsi="Times New Roman"/>
          <w:i/>
          <w:iCs/>
          <w:shd w:fill="auto" w:val="clear"/>
        </w:rPr>
      </w:r>
    </w:p>
    <w:p>
      <w:pPr>
        <w:pStyle w:val="Normal"/>
        <w:spacing w:lineRule="auto" w:line="240" w:before="0" w:after="0"/>
        <w:ind w:right="2947" w:hanging="0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Главный инженер</w:t>
      </w:r>
    </w:p>
    <w:p>
      <w:pPr>
        <w:pStyle w:val="Normal"/>
        <w:spacing w:lineRule="auto" w:line="240" w:before="0" w:after="0"/>
        <w:ind w:right="2947" w:hanging="0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проекта _______________________________________________________________________________________________</w:t>
      </w:r>
    </w:p>
    <w:p>
      <w:pPr>
        <w:pStyle w:val="Normal"/>
        <w:spacing w:lineRule="auto" w:line="240" w:before="0" w:after="0"/>
        <w:ind w:right="2947" w:hanging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i/>
          <w:iCs/>
          <w:shd w:fill="auto" w:val="clear"/>
        </w:rPr>
        <w:t>[подпись (инициалы, фамилия)]</w:t>
      </w:r>
    </w:p>
    <w:p>
      <w:pPr>
        <w:pStyle w:val="Normal"/>
        <w:spacing w:lineRule="auto" w:line="240" w:before="0" w:after="0"/>
        <w:ind w:right="2947" w:hanging="0"/>
        <w:jc w:val="both"/>
        <w:rPr>
          <w:rFonts w:ascii="Times New Roman" w:hAnsi="Times New Roman"/>
          <w:i/>
          <w:i/>
          <w:iCs/>
          <w:highlight w:val="none"/>
          <w:shd w:fill="auto" w:val="clear"/>
        </w:rPr>
      </w:pPr>
      <w:r>
        <w:rPr>
          <w:rFonts w:ascii="Times New Roman" w:hAnsi="Times New Roman"/>
          <w:i/>
          <w:iCs/>
          <w:shd w:fill="auto" w:val="clear"/>
        </w:rPr>
      </w:r>
    </w:p>
    <w:p>
      <w:pPr>
        <w:pStyle w:val="Normal"/>
        <w:spacing w:lineRule="auto" w:line="240" w:before="0" w:after="0"/>
        <w:ind w:right="2947" w:hanging="0"/>
        <w:jc w:val="both"/>
        <w:rPr>
          <w:rFonts w:ascii="Times New Roman" w:hAnsi="Times New Roman"/>
          <w:i/>
          <w:i/>
          <w:iCs/>
          <w:highlight w:val="none"/>
          <w:shd w:fill="auto" w:val="clear"/>
        </w:rPr>
      </w:pPr>
      <w:r>
        <w:rPr>
          <w:rFonts w:ascii="Times New Roman" w:hAnsi="Times New Roman"/>
          <w:i/>
          <w:iCs/>
          <w:shd w:fill="auto" w:val="clear"/>
        </w:rPr>
      </w:r>
      <w:bookmarkStart w:id="56" w:name="_MON_1758635370_Копия_1_Копия_1_Копия_1_"/>
      <w:bookmarkStart w:id="57" w:name="_MON_1758635370_Копия_1_Копия_1_Копия_1_"/>
      <w:bookmarkStart w:id="58" w:name="_MON_1758635370_Копия_1_Копия_1_Копия_1_"/>
      <w:bookmarkStart w:id="59" w:name="_MON_1758635370_Копия_1_Копия_1_Копия_1_"/>
      <w:bookmarkStart w:id="60" w:name="_MON_1758635370_Копия_1_Копия_1"/>
      <w:bookmarkStart w:id="61" w:name="_MON_1758635370"/>
      <w:bookmarkStart w:id="62" w:name="_MON_1758635370_Копия_1"/>
      <w:bookmarkStart w:id="63" w:name="_MON_1758635370_Копия_1_Копия_1_Копия_1"/>
      <w:bookmarkStart w:id="64" w:name="_MON_1758635370_Копия_1_Копия_1_Копия_1_"/>
      <w:bookmarkStart w:id="65" w:name="_MON_1758635370_Копия_1_Копия_1_Копия_1_"/>
      <w:bookmarkStart w:id="66" w:name="_MON_1758635370_Копия_1_Копия_1_Копия_1_"/>
      <w:bookmarkStart w:id="67" w:name="_MON_1758635370_Копия_1_Копия_1_Копия_1_"/>
      <w:bookmarkStart w:id="68" w:name="_MON_1758635370_Копия_1_Копия_1_Копия_1_"/>
      <w:bookmarkStart w:id="69" w:name="_MON_1758635370_Копия_1_Копия_1_Копия_1_"/>
      <w:bookmarkStart w:id="70" w:name="_MON_1758635370_Копия_1_Копия_1_Копия_1_"/>
      <w:bookmarkStart w:id="71" w:name="_MON_1758635370_Копия_1_Копия_1"/>
      <w:bookmarkStart w:id="72" w:name="_MON_1758635370"/>
      <w:bookmarkStart w:id="73" w:name="_MON_1758635370_Копия_1"/>
      <w:bookmarkStart w:id="74" w:name="_MON_1758635370_Копия_1_Копия_1_Копия_1"/>
      <w:bookmarkStart w:id="75" w:name="_MON_1758635370_Копия_1_Копия_1_Копия_1_"/>
      <w:bookmarkStart w:id="76" w:name="_MON_1758635370_Копия_1_Копия_1_Копия_1_"/>
      <w:bookmarkStart w:id="77" w:name="_MON_1758635370_Копия_1_Копия_1_Копия_1_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</w:p>
    <w:p>
      <w:pPr>
        <w:sectPr>
          <w:footerReference w:type="default" r:id="rId35"/>
          <w:footerReference w:type="first" r:id="rId36"/>
          <w:footnotePr>
            <w:numFmt w:val="decimal"/>
            <w:numRestart w:val="eachSect"/>
          </w:footnotePr>
          <w:type w:val="nextPage"/>
          <w:pgSz w:orient="landscape" w:w="16838" w:h="11906"/>
          <w:pgMar w:left="1418" w:right="851" w:gutter="0" w:header="0" w:top="1134" w:footer="709" w:bottom="1134"/>
          <w:pgNumType w:fmt="decimal"/>
          <w:formProt w:val="false"/>
          <w:textDirection w:val="lrTb"/>
          <w:docGrid w:type="default" w:linePitch="360" w:charSpace="0"/>
        </w:sectPr>
        <w:pStyle w:val="ConsPlusNormal1"/>
        <w:ind w:hanging="0"/>
        <w:jc w:val="both"/>
        <w:rPr>
          <w:highlight w:val="none"/>
          <w:shd w:fill="auto" w:val="clear"/>
        </w:rPr>
      </w:pPr>
      <w:bookmarkStart w:id="78" w:name="_MON_1758635370_Копия_1_Копия_1_Копия_1_"/>
      <w:bookmarkEnd w:id="78"/>
      <w:r>
        <w:rPr/>
        <w:object>
          <v:shapetype id="_x0000_tole_rId33" coordsize="21600,21600" o:spt="ole_rId33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3" type="_x0000_tole_rId33" style="width:79.45pt;height:50.65pt;mso-wrap-distance-right:0pt" filled="f" o:ole="">
            <v:imagedata r:id="rId34" o:title=""/>
          </v:shape>
          <o:OLEObject Type="Embed" ProgID="Excel.Sheet.12" ShapeID="ole_rId33" DrawAspect="Icon" ObjectID="_2118803249" r:id="rId33"/>
        </w:object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bookmarkStart w:id="79" w:name="P3865"/>
      <w:bookmarkEnd w:id="79"/>
      <w:r>
        <w:rPr>
          <w:rFonts w:ascii="Times New Roman" w:hAnsi="Times New Roman"/>
          <w:shd w:fill="auto" w:val="clear"/>
        </w:rPr>
        <w:t>Образец сметного расчета</w:t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на командировочные расходы по работам,</w:t>
      </w:r>
    </w:p>
    <w:p>
      <w:pPr>
        <w:pStyle w:val="Normal"/>
        <w:spacing w:lineRule="auto" w:line="240" w:before="0" w:after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связанным с проектированием объекта (форма 4п)</w:t>
      </w:r>
    </w:p>
    <w:p>
      <w:pPr>
        <w:pStyle w:val="ConsPlusNormal1"/>
        <w:jc w:val="both"/>
        <w:rPr>
          <w:rFonts w:ascii="Times New Roman" w:hAnsi="Times New Roman" w:cs="Times New Roman"/>
          <w:sz w:val="22"/>
          <w:szCs w:val="22"/>
          <w:highlight w:val="none"/>
          <w:shd w:fill="auto" w:val="clear"/>
        </w:rPr>
      </w:pPr>
      <w:r>
        <w:rPr>
          <w:rFonts w:cs="Times New Roman" w:ascii="Times New Roman" w:hAnsi="Times New Roman"/>
          <w:sz w:val="22"/>
          <w:szCs w:val="22"/>
          <w:shd w:fill="auto" w:val="clear"/>
        </w:rPr>
      </w:r>
    </w:p>
    <w:tbl>
      <w:tblPr>
        <w:tblW w:w="15038" w:type="dxa"/>
        <w:jc w:val="left"/>
        <w:tblInd w:w="0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noVBand="1" w:noHBand="0" w:lastColumn="0" w:firstColumn="1" w:lastRow="0" w:firstRow="1"/>
      </w:tblPr>
      <w:tblGrid>
        <w:gridCol w:w="491"/>
        <w:gridCol w:w="1626"/>
        <w:gridCol w:w="1698"/>
        <w:gridCol w:w="1973"/>
        <w:gridCol w:w="2664"/>
        <w:gridCol w:w="1271"/>
        <w:gridCol w:w="1917"/>
        <w:gridCol w:w="2006"/>
        <w:gridCol w:w="1390"/>
      </w:tblGrid>
      <w:tr>
        <w:trPr>
          <w:trHeight w:val="644" w:hRule="atLeast"/>
        </w:trPr>
        <w:tc>
          <w:tcPr>
            <w:tcW w:w="4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N п/п</w:t>
            </w:r>
          </w:p>
        </w:tc>
        <w:tc>
          <w:tcPr>
            <w:tcW w:w="162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Пункт назначения</w:t>
            </w:r>
          </w:p>
        </w:tc>
        <w:tc>
          <w:tcPr>
            <w:tcW w:w="169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Количество специалистов</w:t>
            </w:r>
          </w:p>
        </w:tc>
        <w:tc>
          <w:tcPr>
            <w:tcW w:w="1973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Проезд к месту командировки (туда и обратно)</w:t>
            </w:r>
          </w:p>
        </w:tc>
        <w:tc>
          <w:tcPr>
            <w:tcW w:w="2664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 xml:space="preserve">Проживание в номере гостиницы класса "3 звезды", </w:t>
            </w:r>
          </w:p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1 чел/сутки.</w:t>
            </w:r>
          </w:p>
        </w:tc>
        <w:tc>
          <w:tcPr>
            <w:tcW w:w="1271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Суточные</w:t>
            </w:r>
          </w:p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1 сутки/руб.</w:t>
            </w:r>
          </w:p>
        </w:tc>
        <w:tc>
          <w:tcPr>
            <w:tcW w:w="191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Продолжительность командировки, сутки</w:t>
            </w:r>
          </w:p>
        </w:tc>
        <w:tc>
          <w:tcPr>
            <w:tcW w:w="200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Продолжительность проживания в гостинице, сутки</w:t>
            </w:r>
          </w:p>
        </w:tc>
        <w:tc>
          <w:tcPr>
            <w:tcW w:w="139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Итого затрат, рубли</w:t>
            </w:r>
          </w:p>
        </w:tc>
      </w:tr>
      <w:tr>
        <w:trPr/>
        <w:tc>
          <w:tcPr>
            <w:tcW w:w="49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1</w:t>
            </w:r>
          </w:p>
        </w:tc>
        <w:tc>
          <w:tcPr>
            <w:tcW w:w="1626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2</w:t>
            </w:r>
          </w:p>
        </w:tc>
        <w:tc>
          <w:tcPr>
            <w:tcW w:w="1698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3</w:t>
            </w:r>
          </w:p>
        </w:tc>
        <w:tc>
          <w:tcPr>
            <w:tcW w:w="1973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4</w:t>
            </w:r>
          </w:p>
        </w:tc>
        <w:tc>
          <w:tcPr>
            <w:tcW w:w="2664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5</w:t>
            </w:r>
          </w:p>
        </w:tc>
        <w:tc>
          <w:tcPr>
            <w:tcW w:w="1271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6</w:t>
            </w:r>
          </w:p>
        </w:tc>
        <w:tc>
          <w:tcPr>
            <w:tcW w:w="1917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7</w:t>
            </w:r>
          </w:p>
        </w:tc>
        <w:tc>
          <w:tcPr>
            <w:tcW w:w="2006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8</w:t>
            </w:r>
          </w:p>
        </w:tc>
        <w:tc>
          <w:tcPr>
            <w:tcW w:w="1390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9</w:t>
            </w:r>
          </w:p>
        </w:tc>
      </w:tr>
      <w:tr>
        <w:trPr/>
        <w:tc>
          <w:tcPr>
            <w:tcW w:w="49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626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698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973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2664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271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917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2006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390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</w:tr>
      <w:tr>
        <w:trPr/>
        <w:tc>
          <w:tcPr>
            <w:tcW w:w="49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626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698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973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2664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271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917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2006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390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</w:tr>
      <w:tr>
        <w:trPr/>
        <w:tc>
          <w:tcPr>
            <w:tcW w:w="491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626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698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973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2664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271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917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2006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390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</w:tr>
      <w:tr>
        <w:trPr/>
        <w:tc>
          <w:tcPr>
            <w:tcW w:w="3815" w:type="dxa"/>
            <w:gridSpan w:val="3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jc w:val="center"/>
              <w:rPr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  <w:t>Итого по сметному расчету</w:t>
            </w:r>
          </w:p>
        </w:tc>
        <w:tc>
          <w:tcPr>
            <w:tcW w:w="1973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2664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271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917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2006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  <w:tc>
          <w:tcPr>
            <w:tcW w:w="1390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ConsPlusNormal1"/>
              <w:widowControl w:val="false"/>
              <w:ind w:firstLine="60"/>
              <w:rPr>
                <w:rFonts w:ascii="Times New Roman" w:hAnsi="Times New Roman" w:cs="Times New Roman"/>
                <w:highlight w:val="none"/>
                <w:shd w:fill="auto" w:val="clear"/>
              </w:rPr>
            </w:pPr>
            <w:r>
              <w:rPr>
                <w:rFonts w:cs="Times New Roman" w:ascii="Times New Roman" w:hAnsi="Times New Roman"/>
                <w:shd w:fill="auto" w:val="clear"/>
              </w:rPr>
            </w:r>
          </w:p>
        </w:tc>
      </w:tr>
    </w:tbl>
    <w:p>
      <w:pPr>
        <w:pStyle w:val="ConsPlusNormal1"/>
        <w:jc w:val="both"/>
        <w:rPr>
          <w:rFonts w:ascii="Times New Roman" w:hAnsi="Times New Roman" w:eastAsia="Calibri" w:cs="Times New Roman" w:eastAsiaTheme="minorHAnsi"/>
          <w:sz w:val="22"/>
          <w:szCs w:val="22"/>
          <w:highlight w:val="none"/>
          <w:shd w:fill="auto" w:val="clear"/>
        </w:rPr>
      </w:pPr>
      <w:r>
        <w:rPr>
          <w:rFonts w:eastAsia="Calibri" w:cs="Times New Roman" w:eastAsiaTheme="minorHAnsi" w:ascii="Times New Roman" w:hAnsi="Times New Roman"/>
          <w:sz w:val="22"/>
          <w:szCs w:val="22"/>
          <w:shd w:fill="auto" w:val="clear"/>
        </w:rPr>
      </w:r>
    </w:p>
    <w:p>
      <w:pPr>
        <w:pStyle w:val="Normal"/>
        <w:spacing w:lineRule="auto" w:line="240" w:before="0" w:after="0"/>
        <w:ind w:right="2947" w:hanging="0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Руководитель</w:t>
      </w:r>
    </w:p>
    <w:p>
      <w:pPr>
        <w:pStyle w:val="Normal"/>
        <w:spacing w:lineRule="auto" w:line="240" w:before="0" w:after="0"/>
        <w:ind w:right="2947" w:hanging="0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проектной организации ________________________________________________________________________________</w:t>
      </w:r>
    </w:p>
    <w:p>
      <w:pPr>
        <w:pStyle w:val="Normal"/>
        <w:spacing w:lineRule="auto" w:line="240" w:before="0" w:after="0"/>
        <w:ind w:right="2947" w:hanging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i/>
          <w:iCs/>
          <w:shd w:fill="auto" w:val="clear"/>
        </w:rPr>
        <w:t>[подпись (инициалы, фамилия)]</w:t>
      </w:r>
    </w:p>
    <w:p>
      <w:pPr>
        <w:pStyle w:val="Normal"/>
        <w:spacing w:lineRule="auto" w:line="240" w:before="0" w:after="0"/>
        <w:ind w:right="2947" w:hanging="0"/>
        <w:jc w:val="both"/>
        <w:rPr>
          <w:rFonts w:ascii="Times New Roman" w:hAnsi="Times New Roman"/>
          <w:i/>
          <w:i/>
          <w:iCs/>
          <w:highlight w:val="none"/>
          <w:shd w:fill="auto" w:val="clear"/>
        </w:rPr>
      </w:pPr>
      <w:r>
        <w:rPr>
          <w:rFonts w:ascii="Times New Roman" w:hAnsi="Times New Roman"/>
          <w:i/>
          <w:iCs/>
          <w:shd w:fill="auto" w:val="clear"/>
        </w:rPr>
      </w:r>
    </w:p>
    <w:p>
      <w:pPr>
        <w:pStyle w:val="Normal"/>
        <w:spacing w:lineRule="auto" w:line="240" w:before="0" w:after="0"/>
        <w:ind w:right="2947" w:hanging="0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Главный инженер</w:t>
      </w:r>
    </w:p>
    <w:p>
      <w:pPr>
        <w:pStyle w:val="Normal"/>
        <w:spacing w:lineRule="auto" w:line="240" w:before="0" w:after="0"/>
        <w:ind w:right="2947" w:hanging="0"/>
        <w:jc w:val="both"/>
        <w:rPr>
          <w:highlight w:val="none"/>
          <w:shd w:fill="auto" w:val="clear"/>
        </w:rPr>
      </w:pPr>
      <w:r>
        <w:rPr>
          <w:rFonts w:ascii="Times New Roman" w:hAnsi="Times New Roman"/>
          <w:shd w:fill="auto" w:val="clear"/>
        </w:rPr>
        <w:t>проекта _____________________________________________________________________________________________</w:t>
      </w:r>
    </w:p>
    <w:p>
      <w:pPr>
        <w:pStyle w:val="Normal"/>
        <w:spacing w:lineRule="auto" w:line="240" w:before="0" w:after="0"/>
        <w:ind w:right="2947" w:hanging="0"/>
        <w:jc w:val="center"/>
        <w:rPr>
          <w:highlight w:val="none"/>
          <w:shd w:fill="auto" w:val="clear"/>
        </w:rPr>
      </w:pPr>
      <w:r>
        <w:rPr>
          <w:rFonts w:ascii="Times New Roman" w:hAnsi="Times New Roman"/>
          <w:i/>
          <w:iCs/>
          <w:shd w:fill="auto" w:val="clear"/>
        </w:rPr>
        <w:t>[подпись (инициалы, фамилия)]</w:t>
      </w:r>
    </w:p>
    <w:p>
      <w:pPr>
        <w:pStyle w:val="Normal"/>
        <w:spacing w:lineRule="auto" w:line="240" w:before="0" w:after="0"/>
        <w:ind w:right="2947" w:hanging="0"/>
        <w:jc w:val="center"/>
        <w:rPr>
          <w:rFonts w:ascii="Times New Roman" w:hAnsi="Times New Roman"/>
          <w:i/>
          <w:i/>
          <w:iCs/>
          <w:highlight w:val="none"/>
          <w:shd w:fill="auto" w:val="clear"/>
        </w:rPr>
      </w:pPr>
      <w:r>
        <w:rPr>
          <w:rFonts w:ascii="Times New Roman" w:hAnsi="Times New Roman"/>
          <w:i/>
          <w:iCs/>
          <w:shd w:fill="auto" w:val="clear"/>
        </w:rPr>
      </w:r>
    </w:p>
    <w:p>
      <w:pPr>
        <w:pStyle w:val="Normal"/>
        <w:spacing w:lineRule="auto" w:line="240" w:before="0" w:after="0"/>
        <w:ind w:right="2947" w:hanging="0"/>
        <w:jc w:val="center"/>
        <w:rPr>
          <w:rFonts w:ascii="Times New Roman" w:hAnsi="Times New Roman"/>
          <w:i/>
          <w:i/>
          <w:iCs/>
          <w:highlight w:val="none"/>
          <w:shd w:fill="auto" w:val="clear"/>
        </w:rPr>
      </w:pPr>
      <w:r>
        <w:rPr>
          <w:rFonts w:ascii="Times New Roman" w:hAnsi="Times New Roman"/>
          <w:i/>
          <w:iCs/>
          <w:shd w:fill="auto" w:val="clear"/>
        </w:rPr>
      </w:r>
    </w:p>
    <w:p>
      <w:pPr>
        <w:pStyle w:val="Normal"/>
        <w:spacing w:lineRule="auto" w:line="240" w:before="0" w:after="0"/>
        <w:ind w:right="2947" w:hanging="0"/>
        <w:jc w:val="center"/>
        <w:rPr>
          <w:rFonts w:ascii="Times New Roman" w:hAnsi="Times New Roman"/>
          <w:i/>
          <w:i/>
          <w:iCs/>
          <w:highlight w:val="none"/>
          <w:shd w:fill="auto" w:val="clear"/>
        </w:rPr>
      </w:pPr>
      <w:r>
        <w:rPr>
          <w:rFonts w:ascii="Times New Roman" w:hAnsi="Times New Roman"/>
          <w:i/>
          <w:iCs/>
          <w:shd w:fill="auto" w:val="clear"/>
        </w:rPr>
      </w:r>
    </w:p>
    <w:p>
      <w:pPr>
        <w:sectPr>
          <w:footerReference w:type="default" r:id="rId39"/>
          <w:footerReference w:type="first" r:id="rId40"/>
          <w:footnotePr>
            <w:numFmt w:val="decimal"/>
            <w:numRestart w:val="eachSect"/>
          </w:footnotePr>
          <w:type w:val="nextPage"/>
          <w:pgSz w:orient="landscape" w:w="16838" w:h="11906"/>
          <w:pgMar w:left="1418" w:right="851" w:gutter="0" w:header="0" w:top="1134" w:footer="709" w:bottom="1134"/>
          <w:pgNumType w:fmt="decimal"/>
          <w:formProt w:val="false"/>
          <w:textDirection w:val="lrTb"/>
          <w:docGrid w:type="default" w:linePitch="360" w:charSpace="0"/>
        </w:sectPr>
        <w:pStyle w:val="Normal"/>
        <w:spacing w:lineRule="auto" w:line="240" w:before="0" w:after="0"/>
        <w:ind w:right="2947" w:hanging="0"/>
        <w:jc w:val="both"/>
        <w:rPr>
          <w:highlight w:val="none"/>
          <w:shd w:fill="auto" w:val="clear"/>
        </w:rPr>
      </w:pPr>
      <w:bookmarkStart w:id="80" w:name="_Hlk146878269"/>
      <w:r>
        <w:rPr/>
        <w:object>
          <v:shapetype id="_x0000_tole_rId37" coordsize="21600,21600" o:spt="ole_rId37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7" type="_x0000_tole_rId37" style="width:79.45pt;height:50.65pt;mso-wrap-distance-right:0pt" filled="f" o:ole="">
            <v:imagedata r:id="rId38" o:title=""/>
          </v:shape>
          <o:OLEObject Type="Embed" ProgID="Excel.Sheet.12" ShapeID="ole_rId37" DrawAspect="Icon" ObjectID="_1530874639" r:id="rId37"/>
        </w:object>
      </w:r>
      <w:bookmarkEnd w:id="80"/>
    </w:p>
    <w:p>
      <w:pPr>
        <w:pStyle w:val="Normal"/>
        <w:spacing w:lineRule="auto" w:line="240" w:before="0" w:after="0"/>
        <w:ind w:left="5812" w:hanging="0"/>
        <w:jc w:val="both"/>
        <w:rPr>
          <w:rFonts w:ascii="Times New Roman" w:hAnsi="Times New Roman"/>
          <w:sz w:val="20"/>
          <w:highlight w:val="none"/>
          <w:shd w:fill="auto" w:val="clear"/>
        </w:rPr>
      </w:pPr>
      <w:r>
        <w:rPr>
          <w:rFonts w:ascii="Times New Roman" w:hAnsi="Times New Roman"/>
          <w:sz w:val="20"/>
          <w:shd w:fill="auto" w:val="clear"/>
        </w:rPr>
      </w:r>
    </w:p>
    <w:p>
      <w:pPr>
        <w:pStyle w:val="ListParagraph"/>
        <w:spacing w:lineRule="auto" w:line="240" w:before="0" w:after="0"/>
        <w:ind w:left="1429" w:hanging="0"/>
        <w:contextualSpacing/>
        <w:jc w:val="right"/>
        <w:rPr/>
      </w:pPr>
      <w:r>
        <w:rPr>
          <w:rStyle w:val="Style15"/>
          <w:rFonts w:ascii="Times New Roman" w:hAnsi="Times New Roman"/>
          <w:iCs/>
          <w:shd w:fill="auto" w:val="clear"/>
        </w:rPr>
        <w:t>Приложение № 4</w:t>
      </w:r>
    </w:p>
    <w:p>
      <w:pPr>
        <w:pStyle w:val="ListParagraph"/>
        <w:widowControl w:val="false"/>
        <w:pBdr>
          <w:bottom w:val="single" w:sz="4" w:space="1" w:color="000000"/>
        </w:pBdr>
        <w:tabs>
          <w:tab w:val="clear" w:pos="709"/>
          <w:tab w:val="left" w:pos="426" w:leader="none"/>
        </w:tabs>
        <w:spacing w:lineRule="auto" w:line="240" w:before="0" w:after="0"/>
        <w:ind w:left="0" w:hanging="0"/>
        <w:contextualSpacing/>
        <w:jc w:val="right"/>
        <w:rPr/>
      </w:pPr>
      <w:r>
        <w:rPr>
          <w:rStyle w:val="Style15"/>
          <w:rFonts w:ascii="Times New Roman" w:hAnsi="Times New Roman"/>
          <w:iCs/>
          <w:shd w:fill="auto" w:val="clear"/>
        </w:rPr>
        <w:t xml:space="preserve">к Основным положениям </w:t>
        <w:br/>
        <w:t xml:space="preserve">по установлению требований к оформлению </w:t>
        <w:br/>
        <w:t xml:space="preserve">и составлению сметной документации </w:t>
      </w:r>
    </w:p>
    <w:p>
      <w:pPr>
        <w:pStyle w:val="ListParagraph"/>
        <w:tabs>
          <w:tab w:val="clear" w:pos="709"/>
          <w:tab w:val="left" w:pos="1134" w:leader="none"/>
        </w:tabs>
        <w:spacing w:lineRule="auto" w:line="240" w:before="0" w:after="0"/>
        <w:ind w:left="1429" w:hanging="0"/>
        <w:contextualSpacing/>
        <w:rPr>
          <w:rFonts w:ascii="Times New Roman" w:hAnsi="Times New Roman"/>
          <w:b/>
          <w:sz w:val="24"/>
          <w:szCs w:val="24"/>
          <w:highlight w:val="none"/>
          <w:shd w:fill="auto" w:val="clear"/>
        </w:rPr>
      </w:pPr>
      <w:r>
        <w:rPr>
          <w:rFonts w:ascii="Times New Roman" w:hAnsi="Times New Roman"/>
          <w:b/>
          <w:sz w:val="24"/>
          <w:szCs w:val="24"/>
          <w:shd w:fill="auto" w:val="clear"/>
        </w:rPr>
      </w:r>
    </w:p>
    <w:p>
      <w:pPr>
        <w:pStyle w:val="ConsPlusNormal1"/>
        <w:widowControl/>
        <w:tabs>
          <w:tab w:val="clear" w:pos="709"/>
          <w:tab w:val="left" w:pos="900" w:leader="none"/>
          <w:tab w:val="left" w:pos="1134" w:leader="none"/>
        </w:tabs>
        <w:ind w:left="720" w:hanging="0"/>
        <w:jc w:val="center"/>
        <w:rPr>
          <w:highlight w:val="none"/>
          <w:shd w:fill="auto" w:val="clear"/>
        </w:rPr>
      </w:pPr>
      <w:r>
        <w:rPr>
          <w:rFonts w:cs="Times New Roman" w:ascii="Times New Roman" w:hAnsi="Times New Roman"/>
          <w:b/>
          <w:sz w:val="24"/>
          <w:szCs w:val="24"/>
          <w:shd w:fill="auto" w:val="clear"/>
        </w:rPr>
        <w:t>Основные условия ценообразования к договору</w:t>
      </w:r>
    </w:p>
    <w:p>
      <w:pPr>
        <w:pStyle w:val="ConsPlusNormal1"/>
        <w:widowControl/>
        <w:tabs>
          <w:tab w:val="clear" w:pos="709"/>
          <w:tab w:val="left" w:pos="1134" w:leader="none"/>
        </w:tabs>
        <w:ind w:left="720" w:hanging="0"/>
        <w:jc w:val="center"/>
        <w:rPr>
          <w:rFonts w:ascii="Times New Roman" w:hAnsi="Times New Roman" w:cs="Times New Roman"/>
          <w:sz w:val="24"/>
          <w:szCs w:val="24"/>
          <w:highlight w:val="none"/>
          <w:shd w:fill="auto" w:val="clear"/>
        </w:rPr>
      </w:pPr>
      <w:r>
        <w:rPr>
          <w:rFonts w:cs="Times New Roman" w:ascii="Times New Roman" w:hAnsi="Times New Roman"/>
          <w:sz w:val="24"/>
          <w:szCs w:val="24"/>
          <w:shd w:fill="auto" w:val="clear"/>
        </w:rPr>
      </w:r>
    </w:p>
    <w:p>
      <w:pPr>
        <w:pStyle w:val="Normal"/>
        <w:spacing w:lineRule="auto" w:line="240" w:before="0" w:after="0"/>
        <w:contextualSpacing/>
        <w:jc w:val="both"/>
        <w:rPr>
          <w:rFonts w:ascii="Times New Roman" w:hAnsi="Times New Roman"/>
          <w:sz w:val="20"/>
          <w:highlight w:val="none"/>
          <w:shd w:fill="auto" w:val="clear"/>
        </w:rPr>
      </w:pPr>
      <w:r>
        <w:rPr>
          <w:rFonts w:ascii="Times New Roman" w:hAnsi="Times New Roman"/>
          <w:sz w:val="20"/>
          <w:shd w:fill="auto" w:val="clear"/>
        </w:rPr>
      </w:r>
    </w:p>
    <w:p>
      <w:pPr>
        <w:pStyle w:val="Normal"/>
        <w:tabs>
          <w:tab w:val="clear" w:pos="709"/>
          <w:tab w:val="left" w:pos="13892" w:leader="none"/>
        </w:tabs>
        <w:spacing w:lineRule="auto" w:line="240" w:before="0" w:after="0"/>
        <w:ind w:left="720" w:right="253" w:hanging="0"/>
        <w:contextualSpacing/>
        <w:jc w:val="center"/>
        <w:rPr>
          <w:rFonts w:ascii="Times New Roman" w:hAnsi="Times New Roman"/>
          <w:sz w:val="20"/>
          <w:szCs w:val="20"/>
          <w:highlight w:val="none"/>
          <w:shd w:fill="auto" w:val="clear"/>
        </w:rPr>
      </w:pPr>
      <w:r>
        <w:rPr>
          <w:rFonts w:ascii="Times New Roman" w:hAnsi="Times New Roman"/>
          <w:sz w:val="20"/>
          <w:szCs w:val="20"/>
          <w:shd w:fill="auto" w:val="clear"/>
        </w:rPr>
      </w:r>
    </w:p>
    <w:p>
      <w:pPr>
        <w:pStyle w:val="Normal"/>
        <w:tabs>
          <w:tab w:val="clear" w:pos="709"/>
          <w:tab w:val="left" w:pos="13892" w:leader="none"/>
        </w:tabs>
        <w:spacing w:lineRule="auto" w:line="240" w:before="0" w:after="0"/>
        <w:ind w:left="720" w:right="253" w:hanging="0"/>
        <w:contextualSpacing/>
        <w:jc w:val="center"/>
        <w:rPr>
          <w:highlight w:val="none"/>
          <w:shd w:fill="auto" w:val="clear"/>
        </w:rPr>
      </w:pPr>
      <w:r>
        <w:rPr/>
        <w:object>
          <v:shapetype id="_x0000_tole_rId41" coordsize="21600,21600" o:spt="ole_rId41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41" type="_x0000_tole_rId41" style="position:absolute;margin-left:226pt;margin-top:0pt;width:31.95pt;height:31.95pt;mso-wrap-distance-right:0pt;mso-position-horizontal-relative:text;mso-position-vertical-relative:text" filled="f" o:ole="">
            <v:imagedata r:id="rId42" o:title=""/>
            <w10:wrap type="square"/>
          </v:shape>
          <o:OLEObject Type="Embed" ProgID="Excel.Sheet.12" ShapeID="ole_rId41" DrawAspect="Icon" ObjectID="_1802143419" r:id="rId41"/>
        </w:object>
      </w:r>
    </w:p>
    <w:sectPr>
      <w:footerReference w:type="default" r:id="rId43"/>
      <w:footerReference w:type="first" r:id="rId44"/>
      <w:footnotePr>
        <w:numFmt w:val="decimal"/>
        <w:numRestart w:val="eachSect"/>
      </w:footnotePr>
      <w:type w:val="nextPage"/>
      <w:pgSz w:w="11906" w:h="16838"/>
      <w:pgMar w:left="1304" w:right="924" w:gutter="0" w:header="0" w:top="851" w:footer="709" w:bottom="766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roman"/>
    <w:pitch w:val="variable"/>
  </w:font>
  <w:font w:name="Cambria">
    <w:charset w:val="01"/>
    <w:family w:val="roman"/>
    <w:pitch w:val="variable"/>
  </w:font>
  <w:font w:name="Times New Roman">
    <w:charset w:val="01"/>
    <w:family w:val="roman"/>
    <w:pitch w:val="variable"/>
  </w:font>
  <w:font w:name="Tahoma">
    <w:charset w:val="01"/>
    <w:family w:val="roman"/>
    <w:pitch w:val="variable"/>
  </w:font>
  <w:font w:name="Arial">
    <w:charset w:val="01"/>
    <w:family w:val="roman"/>
    <w:pitch w:val="variable"/>
  </w:font>
  <w:font w:name="Liberation Sans">
    <w:altName w:val="Arial"/>
    <w:charset w:val="01"/>
    <w:family w:val="roman"/>
    <w:pitch w:val="variable"/>
  </w:font>
  <w:font w:name="Verdana">
    <w:charset w:val="01"/>
    <w:family w:val="roman"/>
    <w:pitch w:val="variable"/>
  </w:font>
  <w:font w:name="Garamond">
    <w:charset w:val="01"/>
    <w:family w:val="roman"/>
    <w:pitch w:val="variable"/>
  </w:font>
  <w:font w:name="Courier New">
    <w:charset w:val="01"/>
    <w:family w:val="roman"/>
    <w:pitch w:val="variable"/>
  </w:font>
  <w:font w:name="Arial">
    <w:altName w:val=" sans-serif"/>
    <w:charset w:val="01"/>
    <w:family w:val="roman"/>
    <w:pitch w:val="variable"/>
  </w:font>
  <w:font w:name="Symbol">
    <w:charset w:val="02"/>
    <w:family w:val="auto"/>
    <w:pitch w:val="default"/>
  </w:font>
  <w:font w:name="Courier New">
    <w:charset w:val="01"/>
    <w:family w:val="modern"/>
    <w:pitch w:val="fixed"/>
  </w:font>
  <w:font w:name="Wingdings">
    <w:charset w:val="02"/>
    <w:family w:val="auto"/>
    <w:pitch w:val="default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sdt>
    <w:sdtPr>
      <w:docPartObj>
        <w:docPartGallery w:val="Page Numbers (Bottom of Page)"/>
        <w:docPartUnique w:val="true"/>
      </w:docPartObj>
      <w:id w:val="181734457"/>
    </w:sdtPr>
    <w:sdtContent>
      <w:p>
        <w:pPr>
          <w:pStyle w:val="Footer"/>
          <w:jc w:val="center"/>
          <w:rPr/>
        </w:pPr>
        <w:r>
          <w:rPr/>
          <w:fldChar w:fldCharType="begin"/>
        </w:r>
        <w:r>
          <w:rPr/>
          <w:instrText xml:space="preserve"> PAGE </w:instrText>
        </w:r>
        <w:r>
          <w:rPr/>
          <w:fldChar w:fldCharType="separate"/>
        </w:r>
        <w:r>
          <w:rPr/>
          <w:t>3</w:t>
        </w:r>
        <w:r>
          <w:rPr/>
          <w:fldChar w:fldCharType="end"/>
        </w:r>
      </w:p>
      <w:p>
        <w:pPr>
          <w:pStyle w:val="Footer"/>
          <w:rPr/>
        </w:pPr>
        <w:r>
          <w:rPr/>
        </w:r>
      </w:p>
    </w:sdtContent>
  </w:sdt>
</w:ftr>
</file>

<file path=word/footer10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sdt>
    <w:sdtPr>
      <w:docPartObj>
        <w:docPartGallery w:val="Page Numbers (Bottom of Page)"/>
        <w:docPartUnique w:val="true"/>
      </w:docPartObj>
      <w:id w:val="724369211"/>
    </w:sdtPr>
    <w:sdtContent>
      <w:p>
        <w:pPr>
          <w:pStyle w:val="Footer"/>
          <w:jc w:val="center"/>
          <w:rPr/>
        </w:pPr>
        <w:r>
          <w:rPr/>
          <w:fldChar w:fldCharType="begin"/>
        </w:r>
        <w:r>
          <w:rPr/>
          <w:instrText xml:space="preserve"> PAGE </w:instrText>
        </w:r>
        <w:r>
          <w:rPr/>
          <w:fldChar w:fldCharType="separate"/>
        </w:r>
        <w:r>
          <w:rPr/>
          <w:t>12</w:t>
        </w:r>
        <w:r>
          <w:rPr/>
          <w:fldChar w:fldCharType="end"/>
        </w:r>
      </w:p>
      <w:p>
        <w:pPr>
          <w:pStyle w:val="Footer"/>
          <w:rPr/>
        </w:pPr>
        <w:r>
          <w:rPr/>
        </w:r>
      </w:p>
    </w:sdtContent>
  </w:sdt>
</w:ftr>
</file>

<file path=word/footer1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ftr>
</file>

<file path=word/footer1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sdt>
    <w:sdtPr>
      <w:docPartObj>
        <w:docPartGallery w:val="Page Numbers (Bottom of Page)"/>
        <w:docPartUnique w:val="true"/>
      </w:docPartObj>
      <w:id w:val="667135463"/>
    </w:sdtPr>
    <w:sdtContent>
      <w:p>
        <w:pPr>
          <w:pStyle w:val="Footer"/>
          <w:jc w:val="center"/>
          <w:rPr/>
        </w:pPr>
        <w:r>
          <w:rPr/>
          <w:fldChar w:fldCharType="begin"/>
        </w:r>
        <w:r>
          <w:rPr/>
          <w:instrText xml:space="preserve"> PAGE </w:instrText>
        </w:r>
        <w:r>
          <w:rPr/>
          <w:fldChar w:fldCharType="separate"/>
        </w:r>
        <w:r>
          <w:rPr/>
          <w:t>13</w:t>
        </w:r>
        <w:r>
          <w:rPr/>
          <w:fldChar w:fldCharType="end"/>
        </w:r>
      </w:p>
      <w:p>
        <w:pPr>
          <w:pStyle w:val="Footer"/>
          <w:rPr/>
        </w:pPr>
        <w:r>
          <w:rPr/>
        </w:r>
      </w:p>
    </w:sdtContent>
  </w:sdt>
</w:ftr>
</file>

<file path=word/footer1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ftr>
</file>

<file path=word/footer14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sdt>
    <w:sdtPr>
      <w:docPartObj>
        <w:docPartGallery w:val="Page Numbers (Bottom of Page)"/>
        <w:docPartUnique w:val="true"/>
      </w:docPartObj>
      <w:id w:val="2083804257"/>
    </w:sdtPr>
    <w:sdtContent>
      <w:p>
        <w:pPr>
          <w:pStyle w:val="Footer"/>
          <w:jc w:val="center"/>
          <w:rPr/>
        </w:pPr>
        <w:r>
          <w:rPr/>
          <w:fldChar w:fldCharType="begin"/>
        </w:r>
        <w:r>
          <w:rPr/>
          <w:instrText xml:space="preserve"> PAGE </w:instrText>
        </w:r>
        <w:r>
          <w:rPr/>
          <w:fldChar w:fldCharType="separate"/>
        </w:r>
        <w:r>
          <w:rPr/>
          <w:t>17</w:t>
        </w:r>
        <w:r>
          <w:rPr/>
          <w:fldChar w:fldCharType="end"/>
        </w:r>
      </w:p>
      <w:p>
        <w:pPr>
          <w:pStyle w:val="Footer"/>
          <w:rPr/>
        </w:pPr>
        <w:r>
          <w:rPr/>
        </w:r>
      </w:p>
    </w:sdtContent>
  </w:sdt>
</w:ftr>
</file>

<file path=word/footer15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ftr>
</file>

<file path=word/footer16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sdt>
    <w:sdtPr>
      <w:docPartObj>
        <w:docPartGallery w:val="Page Numbers (Bottom of Page)"/>
        <w:docPartUnique w:val="true"/>
      </w:docPartObj>
      <w:id w:val="1182634908"/>
    </w:sdtPr>
    <w:sdtContent>
      <w:p>
        <w:pPr>
          <w:pStyle w:val="Footer"/>
          <w:jc w:val="center"/>
          <w:rPr/>
        </w:pPr>
        <w:r>
          <w:rPr/>
          <w:fldChar w:fldCharType="begin"/>
        </w:r>
        <w:r>
          <w:rPr/>
          <w:instrText xml:space="preserve"> PAGE </w:instrText>
        </w:r>
        <w:r>
          <w:rPr/>
          <w:fldChar w:fldCharType="separate"/>
        </w:r>
        <w:r>
          <w:rPr/>
          <w:t>20</w:t>
        </w:r>
        <w:r>
          <w:rPr/>
          <w:fldChar w:fldCharType="end"/>
        </w:r>
      </w:p>
      <w:p>
        <w:pPr>
          <w:pStyle w:val="Footer"/>
          <w:rPr/>
        </w:pPr>
        <w:r>
          <w:rPr/>
        </w:r>
      </w:p>
    </w:sdtContent>
  </w:sdt>
</w:ftr>
</file>

<file path=word/footer17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ftr>
</file>

<file path=word/footer18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sdt>
    <w:sdtPr>
      <w:docPartObj>
        <w:docPartGallery w:val="Page Numbers (Bottom of Page)"/>
        <w:docPartUnique w:val="true"/>
      </w:docPartObj>
      <w:id w:val="430590760"/>
    </w:sdtPr>
    <w:sdtContent>
      <w:p>
        <w:pPr>
          <w:pStyle w:val="Footer"/>
          <w:jc w:val="center"/>
          <w:rPr/>
        </w:pPr>
        <w:r>
          <w:rPr/>
          <w:fldChar w:fldCharType="begin"/>
        </w:r>
        <w:r>
          <w:rPr/>
          <w:instrText xml:space="preserve"> PAGE </w:instrText>
        </w:r>
        <w:r>
          <w:rPr/>
          <w:fldChar w:fldCharType="separate"/>
        </w:r>
        <w:r>
          <w:rPr/>
          <w:t>21</w:t>
        </w:r>
        <w:r>
          <w:rPr/>
          <w:fldChar w:fldCharType="end"/>
        </w:r>
      </w:p>
      <w:p>
        <w:pPr>
          <w:pStyle w:val="Footer"/>
          <w:rPr/>
        </w:pPr>
        <w:r>
          <w:rPr/>
        </w:r>
      </w:p>
    </w:sdtContent>
  </w:sdt>
</w:ftr>
</file>

<file path=word/footer19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sdt>
    <w:sdtPr>
      <w:docPartObj>
        <w:docPartGallery w:val="Page Numbers (Bottom of Page)"/>
        <w:docPartUnique w:val="true"/>
      </w:docPartObj>
      <w:id w:val="819561199"/>
    </w:sdtPr>
    <w:sdtContent>
      <w:p>
        <w:pPr>
          <w:pStyle w:val="Footer"/>
          <w:jc w:val="center"/>
          <w:rPr/>
        </w:pPr>
        <w:r>
          <w:rPr/>
          <w:fldChar w:fldCharType="begin"/>
        </w:r>
        <w:r>
          <w:rPr/>
          <w:instrText xml:space="preserve"> PAGE </w:instrText>
        </w:r>
        <w:r>
          <w:rPr/>
          <w:fldChar w:fldCharType="separate"/>
        </w:r>
        <w:r>
          <w:rPr/>
          <w:t>5</w:t>
        </w:r>
        <w:r>
          <w:rPr/>
          <w:fldChar w:fldCharType="end"/>
        </w:r>
      </w:p>
      <w:p>
        <w:pPr>
          <w:pStyle w:val="Footer"/>
          <w:rPr/>
        </w:pPr>
        <w:r>
          <w:rPr/>
        </w:r>
      </w:p>
    </w:sdtContent>
  </w:sdt>
</w:ftr>
</file>

<file path=word/footer20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/>
    </w:pPr>
    <w:r>
      <w:rPr/>
      <w:fldChar w:fldCharType="begin"/>
    </w:r>
    <w:r>
      <w:rPr/>
      <w:instrText xml:space="preserve"> PAGE </w:instrText>
    </w:r>
    <w:r>
      <w:rPr/>
      <w:fldChar w:fldCharType="separate"/>
    </w:r>
    <w:r>
      <w:rPr/>
      <w:t>23</w:t>
    </w:r>
    <w:r>
      <w:rPr/>
      <w:fldChar w:fldCharType="end"/>
    </w:r>
  </w:p>
  <w:p>
    <w:pPr>
      <w:pStyle w:val="Footer"/>
      <w:rPr/>
    </w:pPr>
    <w:r>
      <w:rPr/>
    </w:r>
  </w:p>
</w:ftr>
</file>

<file path=word/footer2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ftr>
</file>

<file path=word/footer2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/>
    </w:pPr>
    <w:r>
      <w:rPr/>
      <w:fldChar w:fldCharType="begin"/>
    </w:r>
    <w:r>
      <w:rPr/>
      <w:instrText xml:space="preserve"> PAGE </w:instrText>
    </w:r>
    <w:r>
      <w:rPr/>
      <w:fldChar w:fldCharType="separate"/>
    </w:r>
    <w:r>
      <w:rPr/>
      <w:t>24</w:t>
    </w:r>
    <w:r>
      <w:rPr/>
      <w:fldChar w:fldCharType="end"/>
    </w:r>
  </w:p>
  <w:p>
    <w:pPr>
      <w:pStyle w:val="Footer"/>
      <w:rPr/>
    </w:pPr>
    <w:r>
      <w:rPr/>
    </w:r>
  </w:p>
</w:ftr>
</file>

<file path=word/footer2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ftr>
</file>

<file path=word/footer24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/>
    </w:pPr>
    <w:r>
      <w:rPr/>
      <w:fldChar w:fldCharType="begin"/>
    </w:r>
    <w:r>
      <w:rPr/>
      <w:instrText xml:space="preserve"> PAGE </w:instrText>
    </w:r>
    <w:r>
      <w:rPr/>
      <w:fldChar w:fldCharType="separate"/>
    </w:r>
    <w:r>
      <w:rPr/>
      <w:t>25</w:t>
    </w:r>
    <w:r>
      <w:rPr/>
      <w:fldChar w:fldCharType="end"/>
    </w:r>
  </w:p>
  <w:p>
    <w:pPr>
      <w:pStyle w:val="Footer"/>
      <w:rPr/>
    </w:pPr>
    <w:r>
      <w:rPr/>
    </w:r>
  </w:p>
</w:ftr>
</file>

<file path=word/footer25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ftr>
</file>

<file path=word/footer26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/>
    </w:pPr>
    <w:r>
      <w:rPr/>
      <w:fldChar w:fldCharType="begin"/>
    </w:r>
    <w:r>
      <w:rPr/>
      <w:instrText xml:space="preserve"> PAGE </w:instrText>
    </w:r>
    <w:r>
      <w:rPr/>
      <w:fldChar w:fldCharType="separate"/>
    </w:r>
    <w:r>
      <w:rPr/>
      <w:t>26</w:t>
    </w:r>
    <w:r>
      <w:rPr/>
      <w:fldChar w:fldCharType="end"/>
    </w:r>
  </w:p>
  <w:p>
    <w:pPr>
      <w:pStyle w:val="Footer"/>
      <w:rPr/>
    </w:pPr>
    <w:r>
      <w:rPr/>
    </w:r>
  </w:p>
</w:ftr>
</file>

<file path=word/footer27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ftr>
</file>

<file path=word/footer4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sdt>
    <w:sdtPr>
      <w:docPartObj>
        <w:docPartGallery w:val="Page Numbers (Bottom of Page)"/>
        <w:docPartUnique w:val="true"/>
      </w:docPartObj>
      <w:id w:val="1777989491"/>
    </w:sdtPr>
    <w:sdtContent>
      <w:p>
        <w:pPr>
          <w:pStyle w:val="Footer"/>
          <w:jc w:val="center"/>
          <w:rPr/>
        </w:pPr>
        <w:r>
          <w:rPr/>
          <w:fldChar w:fldCharType="begin"/>
        </w:r>
        <w:r>
          <w:rPr/>
          <w:instrText xml:space="preserve"> PAGE </w:instrText>
        </w:r>
        <w:r>
          <w:rPr/>
          <w:fldChar w:fldCharType="separate"/>
        </w:r>
        <w:r>
          <w:rPr/>
          <w:t>7</w:t>
        </w:r>
        <w:r>
          <w:rPr/>
          <w:fldChar w:fldCharType="end"/>
        </w:r>
      </w:p>
      <w:p>
        <w:pPr>
          <w:pStyle w:val="Footer"/>
          <w:rPr/>
        </w:pPr>
        <w:r>
          <w:rPr/>
        </w:r>
      </w:p>
    </w:sdtContent>
  </w:sdt>
</w:ftr>
</file>

<file path=word/footer5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ftr>
</file>

<file path=word/footer6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sdt>
    <w:sdtPr>
      <w:docPartObj>
        <w:docPartGallery w:val="Page Numbers (Bottom of Page)"/>
        <w:docPartUnique w:val="true"/>
      </w:docPartObj>
      <w:id w:val="112892494"/>
    </w:sdtPr>
    <w:sdtContent>
      <w:p>
        <w:pPr>
          <w:pStyle w:val="Footer"/>
          <w:jc w:val="center"/>
          <w:rPr/>
        </w:pPr>
        <w:r>
          <w:rPr/>
          <w:fldChar w:fldCharType="begin"/>
        </w:r>
        <w:r>
          <w:rPr/>
          <w:instrText xml:space="preserve"> PAGE </w:instrText>
        </w:r>
        <w:r>
          <w:rPr/>
          <w:fldChar w:fldCharType="separate"/>
        </w:r>
        <w:r>
          <w:rPr/>
          <w:t>9</w:t>
        </w:r>
        <w:r>
          <w:rPr/>
          <w:fldChar w:fldCharType="end"/>
        </w:r>
      </w:p>
      <w:p>
        <w:pPr>
          <w:pStyle w:val="Footer"/>
          <w:rPr/>
        </w:pPr>
        <w:r>
          <w:rPr/>
        </w:r>
      </w:p>
    </w:sdtContent>
  </w:sdt>
</w:ftr>
</file>

<file path=word/footer7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ftr>
</file>

<file path=word/footer8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sdt>
    <w:sdtPr>
      <w:docPartObj>
        <w:docPartGallery w:val="Page Numbers (Bottom of Page)"/>
        <w:docPartUnique w:val="true"/>
      </w:docPartObj>
      <w:id w:val="117878368"/>
    </w:sdtPr>
    <w:sdtContent>
      <w:p>
        <w:pPr>
          <w:pStyle w:val="Footer"/>
          <w:jc w:val="center"/>
          <w:rPr/>
        </w:pPr>
        <w:r>
          <w:rPr/>
          <w:fldChar w:fldCharType="begin"/>
        </w:r>
        <w:r>
          <w:rPr/>
          <w:instrText xml:space="preserve"> PAGE </w:instrText>
        </w:r>
        <w:r>
          <w:rPr/>
          <w:fldChar w:fldCharType="separate"/>
        </w:r>
        <w:r>
          <w:rPr/>
          <w:t>11</w:t>
        </w:r>
        <w:r>
          <w:rPr/>
          <w:fldChar w:fldCharType="end"/>
        </w:r>
      </w:p>
      <w:p>
        <w:pPr>
          <w:pStyle w:val="Footer"/>
          <w:rPr/>
        </w:pPr>
        <w:r>
          <w:rPr/>
        </w:r>
      </w:p>
    </w:sdtContent>
  </w:sdt>
</w:ftr>
</file>

<file path=word/footer9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/>
</w:ftr>
</file>

<file path=word/footnotes.xml><?xml version="1.0" encoding="utf-8"?>
<w:footnotes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footnote w:id="0" w:type="separator">
    <w:p>
      <w:pPr>
        <w:rPr>
          <w:sz w:val="12"/>
        </w:rPr>
      </w:pPr>
      <w:r>
        <w:separator/>
      </w:r>
    </w:p>
  </w:footnote>
  <w:footnote w:id="1" w:type="continuationSeparator">
    <w:p>
      <w:pPr>
        <w:rPr>
          <w:sz w:val="12"/>
        </w:rPr>
      </w:pPr>
      <w:r>
        <w:continuationSeparator/>
      </w:r>
    </w:p>
  </w:footnote>
  <w:footnote w:id="2">
    <w:p>
      <w:pPr>
        <w:pStyle w:val="Normal"/>
        <w:spacing w:lineRule="auto" w:line="240" w:before="0" w:after="0"/>
        <w:jc w:val="both"/>
        <w:rPr>
          <w:rFonts w:ascii="Times New Roman" w:hAnsi="Times New Roman"/>
          <w:sz w:val="18"/>
          <w:szCs w:val="18"/>
        </w:rPr>
      </w:pPr>
      <w:r>
        <w:rPr>
          <w:rStyle w:val="Style3"/>
        </w:rPr>
        <w:footnoteRef/>
      </w:r>
      <w:r>
        <w:rPr>
          <w:sz w:val="18"/>
          <w:szCs w:val="18"/>
        </w:rPr>
        <w:t xml:space="preserve"> </w:t>
      </w:r>
      <w:r>
        <w:rPr>
          <w:rFonts w:ascii="Times New Roman" w:hAnsi="Times New Roman"/>
          <w:sz w:val="18"/>
          <w:szCs w:val="18"/>
        </w:rPr>
        <w:t xml:space="preserve">На официальном сайте единой межведомственной информационно-статистической системы (ЕМИСС) https://www.fedstat.ru указанная информация представлена по показателю «Среднемесячная номинальная начисленная заработная плата работающих в экономике с 2017 г.», в графе «Классификатор видов экономической деятельности» следует выбрать «Деятельность в области архитектуры и инженерно-технического проектирования; технических испытаний, исследований и анализа». 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/>
          <w:sz w:val="18"/>
          <w:szCs w:val="18"/>
        </w:rPr>
      </w:pPr>
      <w:r>
        <w:rPr>
          <w:rFonts w:ascii="Times New Roman" w:hAnsi="Times New Roman"/>
          <w:sz w:val="18"/>
          <w:szCs w:val="18"/>
        </w:rPr>
      </w:r>
    </w:p>
    <w:p>
      <w:pPr>
        <w:pStyle w:val="Normal"/>
        <w:spacing w:lineRule="auto" w:line="240" w:before="0" w:after="0"/>
        <w:jc w:val="both"/>
        <w:rPr>
          <w:sz w:val="18"/>
          <w:szCs w:val="18"/>
        </w:rPr>
      </w:pPr>
      <w:r>
        <w:rPr>
          <w:rFonts w:ascii="Times New Roman" w:hAnsi="Times New Roman"/>
          <w:sz w:val="18"/>
          <w:szCs w:val="18"/>
        </w:rPr>
        <w:t>Для работ по проектированию объектов, являющихся особо опасными, технически сложными, уникальными объектами следует выбрать «Деятельность в области архитектуры, инженерных изысканий и предоставление технических консультаций в этих областях».</w:t>
      </w:r>
    </w:p>
  </w:footnote>
</w:footnote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decimal"/>
      <w:lvlText w:val="%1."/>
      <w:lvlJc w:val="center"/>
      <w:pPr>
        <w:tabs>
          <w:tab w:val="num" w:pos="567"/>
        </w:tabs>
        <w:ind w:left="567" w:hanging="279"/>
      </w:pPr>
      <w:rPr/>
    </w:lvl>
    <w:lvl w:ilvl="1">
      <w:start w:val="1"/>
      <w:numFmt w:val="decimal"/>
      <w:lvlText w:val="%1.%2."/>
      <w:lvlJc w:val="left"/>
      <w:pPr>
        <w:tabs>
          <w:tab w:val="num" w:pos="1844"/>
        </w:tabs>
        <w:ind w:left="1844" w:hanging="567"/>
      </w:pPr>
      <w:rPr>
        <w:u w:val="none"/>
      </w:rPr>
    </w:lvl>
    <w:lvl w:ilvl="2">
      <w:start w:val="1"/>
      <w:numFmt w:val="decimal"/>
      <w:lvlText w:val="%1.%2.%3."/>
      <w:lvlJc w:val="left"/>
      <w:pPr>
        <w:tabs>
          <w:tab w:val="num" w:pos="993"/>
        </w:tabs>
        <w:ind w:left="993" w:hanging="851"/>
      </w:pPr>
      <w:rPr>
        <w:dstrike w:val="false"/>
        <w:strike w:val="false"/>
      </w:rPr>
    </w:lvl>
    <w:lvl w:ilvl="3">
      <w:start w:val="1"/>
      <w:numFmt w:val="decimal"/>
      <w:lvlText w:val="%1.%2.%3.%4."/>
      <w:lvlJc w:val="left"/>
      <w:pPr>
        <w:tabs>
          <w:tab w:val="num" w:pos="1277"/>
        </w:tabs>
        <w:ind w:left="1277" w:hanging="567"/>
      </w:pPr>
      <w:rPr/>
    </w:lvl>
    <w:lvl w:ilvl="4">
      <w:start w:val="1"/>
      <w:numFmt w:val="lowerLetter"/>
      <w:lvlText w:val="%5)"/>
      <w:lvlJc w:val="left"/>
      <w:pPr>
        <w:tabs>
          <w:tab w:val="num" w:pos="1718"/>
        </w:tabs>
        <w:ind w:left="1718" w:hanging="1008"/>
      </w:pPr>
      <w:rPr/>
    </w:lvl>
    <w:lvl w:ilvl="5">
      <w:start w:val="1"/>
      <w:numFmt w:val="decimal"/>
      <w:lvlText w:val="%1.%2.%3.%4.%5.%6."/>
      <w:lvlJc w:val="left"/>
      <w:pPr>
        <w:tabs>
          <w:tab w:val="num" w:pos="2592"/>
        </w:tabs>
        <w:ind w:left="2592" w:hanging="1152"/>
      </w:pPr>
      <w:rPr/>
    </w:lvl>
    <w:lvl w:ilvl="6">
      <w:start w:val="1"/>
      <w:numFmt w:val="decimal"/>
      <w:lvlText w:val="%1.%2.%3.%4.%5.%6.%7."/>
      <w:lvlJc w:val="left"/>
      <w:pPr>
        <w:tabs>
          <w:tab w:val="num" w:pos="2736"/>
        </w:tabs>
        <w:ind w:left="2736" w:hanging="1296"/>
      </w:pPr>
      <w:rPr/>
    </w:lvl>
    <w:lvl w:ilvl="7">
      <w:start w:val="1"/>
      <w:numFmt w:val="decimal"/>
      <w:lvlText w:val="%1.%2.%3.%4.%5.%6.%7.%8."/>
      <w:lvlJc w:val="left"/>
      <w:pPr>
        <w:tabs>
          <w:tab w:val="num" w:pos="2880"/>
        </w:tabs>
        <w:ind w:left="2880" w:hanging="1440"/>
      </w:pPr>
      <w:rPr/>
    </w:lvl>
    <w:lvl w:ilvl="8">
      <w:start w:val="1"/>
      <w:numFmt w:val="decimal"/>
      <w:lvlText w:val="%1.%2.%3.%4.%5.%6.%7.%8.%9."/>
      <w:lvlJc w:val="left"/>
      <w:pPr>
        <w:tabs>
          <w:tab w:val="num" w:pos="3024"/>
        </w:tabs>
        <w:ind w:left="3024" w:hanging="1584"/>
      </w:pPr>
      <w:rPr/>
    </w:lvl>
  </w:abstractNum>
  <w:abstractNum w:abstractNumId="2"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/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i w:val="false"/>
        <w:rFonts w:ascii="Garamond" w:hAnsi="Garamond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/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/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/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/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/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/>
    </w:lvl>
  </w:abstractNum>
  <w:abstractNum w:abstractNumId="3">
    <w:lvl w:ilvl="0">
      <w:start w:val="1"/>
      <w:numFmt w:val="bullet"/>
      <w:lvlText w:val=""/>
      <w:lvlJc w:val="left"/>
      <w:pPr>
        <w:tabs>
          <w:tab w:val="num" w:pos="0"/>
        </w:tabs>
        <w:ind w:left="1713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433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153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873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593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313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6033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753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473" w:hanging="360"/>
      </w:pPr>
      <w:rPr>
        <w:rFonts w:ascii="Wingdings" w:hAnsi="Wingdings" w:cs="Wingdings" w:hint="default"/>
      </w:rPr>
    </w:lvl>
  </w:abstractNum>
  <w:abstractNum w:abstractNumId="4">
    <w:lvl w:ilvl="0">
      <w:start w:val="1"/>
      <w:numFmt w:val="bullet"/>
      <w:lvlText w:val=""/>
      <w:lvlJc w:val="left"/>
      <w:pPr>
        <w:tabs>
          <w:tab w:val="num" w:pos="0"/>
        </w:tabs>
        <w:ind w:left="1211" w:hanging="360"/>
      </w:pPr>
      <w:rPr>
        <w:rFonts w:ascii="Symbol" w:hAnsi="Symbol" w:cs="Symbol" w:hint="default"/>
        <w:color w:val="00000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36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08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80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52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24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96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68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407" w:hanging="360"/>
      </w:pPr>
      <w:rPr>
        <w:rFonts w:ascii="Wingdings" w:hAnsi="Wingdings" w:cs="Wingdings" w:hint="default"/>
      </w:rPr>
    </w:lvl>
  </w:abstractNum>
  <w:abstractNum w:abstractNumId="5">
    <w:lvl w:ilvl="0">
      <w:start w:val="1"/>
      <w:numFmt w:val="bullet"/>
      <w:lvlText w:val=""/>
      <w:lvlJc w:val="left"/>
      <w:pPr>
        <w:tabs>
          <w:tab w:val="num" w:pos="0"/>
        </w:tabs>
        <w:ind w:left="1647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36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08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80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52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24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96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68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407" w:hanging="360"/>
      </w:pPr>
      <w:rPr>
        <w:rFonts w:ascii="Wingdings" w:hAnsi="Wingdings" w:cs="Wingdings" w:hint="default"/>
      </w:rPr>
    </w:lvl>
  </w:abstractNum>
  <w:abstractNum w:abstractNumId="6">
    <w:lvl w:ilvl="0">
      <w:start w:val="1"/>
      <w:numFmt w:val="decimal"/>
      <w:lvlText w:val="%1."/>
      <w:lvlJc w:val="left"/>
      <w:pPr>
        <w:tabs>
          <w:tab w:val="num" w:pos="0"/>
        </w:tabs>
        <w:ind w:left="502" w:hanging="360"/>
      </w:pPr>
      <w:rPr>
        <w:sz w:val="24"/>
        <w:i w:val="false"/>
        <w:b w:val="false"/>
        <w:szCs w:val="24"/>
        <w:color w:val="auto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952" w:hanging="450"/>
      </w:pPr>
      <w:rPr>
        <w:sz w:val="22"/>
        <w:b w:val="false"/>
        <w:szCs w:val="22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582" w:hanging="720"/>
      </w:pPr>
      <w:rPr>
        <w:sz w:val="22"/>
        <w:szCs w:val="22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942" w:hanging="720"/>
      </w:pPr>
      <w:rPr>
        <w:sz w:val="28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662" w:hanging="1080"/>
      </w:pPr>
      <w:rPr>
        <w:sz w:val="28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3022" w:hanging="1080"/>
      </w:pPr>
      <w:rPr>
        <w:sz w:val="28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382" w:hanging="1080"/>
      </w:pPr>
      <w:rPr>
        <w:sz w:val="28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4102" w:hanging="1440"/>
      </w:pPr>
      <w:rPr>
        <w:sz w:val="28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462" w:hanging="1440"/>
      </w:pPr>
      <w:rPr>
        <w:sz w:val="28"/>
      </w:rPr>
    </w:lvl>
  </w:abstractNum>
  <w:abstractNum w:abstractNumId="7">
    <w:lvl w:ilvl="0">
      <w:start w:val="1"/>
      <w:numFmt w:val="decimal"/>
      <w:lvlText w:val="%1."/>
      <w:lvlJc w:val="center"/>
      <w:pPr>
        <w:tabs>
          <w:tab w:val="num" w:pos="1272"/>
        </w:tabs>
        <w:ind w:left="1272" w:hanging="279"/>
      </w:pPr>
      <w:rPr>
        <w:sz w:val="24"/>
        <w:i w:val="false"/>
        <w:u w:val="none"/>
        <w:b w:val="false"/>
        <w:szCs w:val="24"/>
        <w:color w:val="000000"/>
      </w:rPr>
    </w:lvl>
    <w:lvl w:ilvl="1">
      <w:start w:val="1"/>
      <w:numFmt w:val="decimal"/>
      <w:lvlText w:val="%1.%2."/>
      <w:lvlJc w:val="left"/>
      <w:pPr>
        <w:tabs>
          <w:tab w:val="num" w:pos="1844"/>
        </w:tabs>
        <w:ind w:left="1844" w:hanging="567"/>
      </w:pPr>
      <w:rPr>
        <w:sz w:val="24"/>
        <w:u w:val="none"/>
        <w:b w:val="false"/>
        <w:szCs w:val="24"/>
      </w:rPr>
    </w:lvl>
    <w:lvl w:ilvl="2">
      <w:start w:val="1"/>
      <w:numFmt w:val="decimal"/>
      <w:lvlText w:val="%1.%2.%3."/>
      <w:lvlJc w:val="left"/>
      <w:pPr>
        <w:tabs>
          <w:tab w:val="num" w:pos="993"/>
        </w:tabs>
        <w:ind w:left="993" w:hanging="851"/>
      </w:pPr>
      <w:rPr>
        <w:dstrike w:val="false"/>
        <w:strike w:val="false"/>
      </w:rPr>
    </w:lvl>
    <w:lvl w:ilvl="3">
      <w:start w:val="1"/>
      <w:numFmt w:val="decimal"/>
      <w:lvlText w:val="%1.%2.%3.%4."/>
      <w:lvlJc w:val="left"/>
      <w:pPr>
        <w:tabs>
          <w:tab w:val="num" w:pos="1277"/>
        </w:tabs>
        <w:ind w:left="1277" w:hanging="567"/>
      </w:pPr>
      <w:rPr/>
    </w:lvl>
    <w:lvl w:ilvl="4">
      <w:start w:val="1"/>
      <w:numFmt w:val="lowerLetter"/>
      <w:lvlText w:val="%5)"/>
      <w:lvlJc w:val="left"/>
      <w:pPr>
        <w:tabs>
          <w:tab w:val="num" w:pos="1718"/>
        </w:tabs>
        <w:ind w:left="1718" w:hanging="1008"/>
      </w:pPr>
      <w:rPr/>
    </w:lvl>
    <w:lvl w:ilvl="5">
      <w:start w:val="1"/>
      <w:numFmt w:val="decimal"/>
      <w:lvlText w:val="%1.%2.%3.%4.%5.%6."/>
      <w:lvlJc w:val="left"/>
      <w:pPr>
        <w:tabs>
          <w:tab w:val="num" w:pos="2592"/>
        </w:tabs>
        <w:ind w:left="2592" w:hanging="1152"/>
      </w:pPr>
      <w:rPr/>
    </w:lvl>
    <w:lvl w:ilvl="6">
      <w:start w:val="1"/>
      <w:numFmt w:val="decimal"/>
      <w:lvlText w:val="%1.%2.%3.%4.%5.%6.%7."/>
      <w:lvlJc w:val="left"/>
      <w:pPr>
        <w:tabs>
          <w:tab w:val="num" w:pos="2736"/>
        </w:tabs>
        <w:ind w:left="2736" w:hanging="1296"/>
      </w:pPr>
      <w:rPr/>
    </w:lvl>
    <w:lvl w:ilvl="7">
      <w:start w:val="1"/>
      <w:numFmt w:val="decimal"/>
      <w:lvlText w:val="%1.%2.%3.%4.%5.%6.%7.%8."/>
      <w:lvlJc w:val="left"/>
      <w:pPr>
        <w:tabs>
          <w:tab w:val="num" w:pos="2880"/>
        </w:tabs>
        <w:ind w:left="2880" w:hanging="1440"/>
      </w:pPr>
      <w:rPr/>
    </w:lvl>
    <w:lvl w:ilvl="8">
      <w:start w:val="1"/>
      <w:numFmt w:val="decimal"/>
      <w:lvlText w:val="%1.%2.%3.%4.%5.%6.%7.%8.%9."/>
      <w:lvlJc w:val="left"/>
      <w:pPr>
        <w:tabs>
          <w:tab w:val="num" w:pos="3024"/>
        </w:tabs>
        <w:ind w:left="3024" w:hanging="1584"/>
      </w:pPr>
      <w:rPr/>
    </w:lvl>
  </w:abstractNum>
  <w:abstractNum w:abstractNumId="8">
    <w:lvl w:ilvl="0">
      <w:start w:val="1"/>
      <w:numFmt w:val="decimal"/>
      <w:lvlText w:val="%1."/>
      <w:lvlJc w:val="left"/>
      <w:pPr>
        <w:tabs>
          <w:tab w:val="num" w:pos="0"/>
        </w:tabs>
        <w:ind w:left="1211" w:hanging="360"/>
      </w:pPr>
      <w:rPr>
        <w:b w:val="false"/>
        <w:rFonts w:ascii="Times New Roman" w:hAnsi="Times New Roman" w:eastAsia="Calibri" w:cs="Times New Roman"/>
        <w:color w:val="000000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1146" w:hanging="360"/>
      </w:pPr>
      <w:rPr/>
    </w:lvl>
    <w:lvl w:ilvl="2">
      <w:start w:val="1"/>
      <w:numFmt w:val="decimal"/>
      <w:lvlText w:val="%1.%2.%3"/>
      <w:lvlJc w:val="left"/>
      <w:pPr>
        <w:tabs>
          <w:tab w:val="num" w:pos="0"/>
        </w:tabs>
        <w:ind w:left="1724" w:hanging="720"/>
      </w:pPr>
      <w:rPr/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42" w:hanging="720"/>
      </w:pPr>
      <w:rPr/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2520" w:hanging="1080"/>
      </w:pPr>
      <w:rPr/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2738" w:hanging="1080"/>
      </w:pPr>
      <w:rPr/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3316" w:hanging="1440"/>
      </w:pPr>
      <w:rPr/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3534" w:hanging="1440"/>
      </w:pPr>
      <w:rPr/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3752" w:hanging="1440"/>
      </w:pPr>
      <w:rPr/>
    </w:lvl>
  </w:abstractNum>
  <w:abstractNum w:abstractNumId="9">
    <w:lvl w:ilvl="0">
      <w:start w:val="1"/>
      <w:numFmt w:val="bullet"/>
      <w:lvlText w:val=""/>
      <w:lvlJc w:val="left"/>
      <w:pPr>
        <w:tabs>
          <w:tab w:val="num" w:pos="0"/>
        </w:tabs>
        <w:ind w:left="13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0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7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4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2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9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6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3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080" w:hanging="360"/>
      </w:pPr>
      <w:rPr>
        <w:rFonts w:ascii="Wingdings" w:hAnsi="Wingdings" w:cs="Wingdings" w:hint="default"/>
      </w:rPr>
    </w:lvl>
  </w:abstractNum>
  <w:abstractNum w:abstractNumId="10">
    <w:lvl w:ilvl="0">
      <w:start w:val="1"/>
      <w:numFmt w:val="bullet"/>
      <w:lvlText w:val=""/>
      <w:lvlJc w:val="left"/>
      <w:pPr>
        <w:tabs>
          <w:tab w:val="num" w:pos="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1">
    <w:lvl w:ilvl="0">
      <w:start w:val="1"/>
      <w:numFmt w:val="decimal"/>
      <w:lvlText w:val="%1."/>
      <w:lvlJc w:val="left"/>
      <w:pPr>
        <w:tabs>
          <w:tab w:val="num" w:pos="397"/>
        </w:tabs>
        <w:ind w:left="0" w:hanging="0"/>
      </w:pPr>
      <w:rPr>
        <w:i w:val="false"/>
        <w:b w:val="false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284" w:hanging="0"/>
      </w:pPr>
      <w:rPr>
        <w:smallCaps w:val="false"/>
        <w:caps w:val="false"/>
        <w:dstrike w:val="false"/>
        <w:strike w:val="false"/>
        <w:vertAlign w:val="baseline"/>
        <w:position w:val="0"/>
        <w:sz w:val="20"/>
        <w:sz w:val="20"/>
        <w:spacing w:val="0"/>
        <w:i w:val="false"/>
        <w:u w:val="none"/>
        <w:b w:val="false"/>
        <w:kern w:val="0"/>
        <w:effect w:val="none"/>
        <w:iCs w:val="false"/>
        <w:bCs w:val="false"/>
        <w:em w:val="none"/>
        <w:vanish w:val="false"/>
        <w:rFonts w:ascii="Times New Roman" w:hAnsi="Times New Roman" w:cs="Times New Roman"/>
        <w:color w:val="000000"/>
        <w14:cntxtAlts>
          <w14:cntxtAlts/>
        </w14:cntxtAlts>
        <w14:glow w14:rad="0">
          <w14:srgbClr w14:val="000000"/>
        </w14:glow>
        <w14:ligatures w14:val="none"/>
        <w14:numForm w14:val="default"/>
        <w14:numSpacing w14:val="default"/>
        <w14:props3d w14:extrusionH="0" w14:contourW="0" w14:prstMaterial="none"/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shadow w14:blurRad="0" w14:dist="0" w14:dir="0" w14:sx="0" w14:sy="0" w14:kx="0" w14:ky="0" w14:algn="none">
          <w14:srgbClr w14:val="000000"/>
        </w14:shadow>
        <w14:stylisticSets/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080" w:hanging="720"/>
      </w:pPr>
      <w:rPr/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080" w:hanging="720"/>
      </w:pPr>
      <w:rPr/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440" w:hanging="1080"/>
      </w:pPr>
      <w:rPr/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440" w:hanging="1080"/>
      </w:pPr>
      <w:rPr/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800" w:hanging="1440"/>
      </w:pPr>
      <w:rPr/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800" w:hanging="1440"/>
      </w:pPr>
      <w:rPr/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160" w:hanging="1800"/>
      </w:pPr>
      <w:rPr/>
    </w:lvl>
  </w:abstractNum>
  <w:abstractNum w:abstractNumId="12">
    <w:lvl w:ilvl="0">
      <w:start w:val="3"/>
      <w:numFmt w:val="decimal"/>
      <w:lvlText w:val="%1"/>
      <w:lvlJc w:val="left"/>
      <w:pPr>
        <w:tabs>
          <w:tab w:val="num" w:pos="0"/>
        </w:tabs>
        <w:ind w:left="360" w:hanging="360"/>
      </w:pPr>
      <w:rPr/>
    </w:lvl>
    <w:lvl w:ilvl="1">
      <w:start w:val="4"/>
      <w:numFmt w:val="decimal"/>
      <w:lvlText w:val="%1.%2"/>
      <w:lvlJc w:val="left"/>
      <w:pPr>
        <w:tabs>
          <w:tab w:val="num" w:pos="0"/>
        </w:tabs>
        <w:ind w:left="360" w:hanging="360"/>
      </w:pPr>
      <w:rPr/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  <w:rPr/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720" w:hanging="720"/>
      </w:pPr>
      <w:rPr/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80" w:hanging="1080"/>
      </w:pPr>
      <w:rPr/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080" w:hanging="1080"/>
      </w:pPr>
      <w:rPr/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440" w:hanging="1440"/>
      </w:pPr>
      <w:rPr/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  <w:rPr/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800" w:hanging="1800"/>
      </w:pPr>
      <w:rPr/>
    </w:lvl>
  </w:abstractNum>
  <w:abstractNum w:abstractNumId="13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</w:numbering>
</file>

<file path=word/settings.xml><?xml version="1.0" encoding="utf-8"?>
<w:settings xmlns:w="http://schemas.openxmlformats.org/wordprocessingml/2006/main">
  <w:zoom w:percent="110"/>
  <w:defaultTabStop w:val="709"/>
  <w:autoHyphenation w:val="true"/>
  <w:footnotePr>
    <w:numFmt w:val="decimal"/>
    <w:numRestart w:val="eachSect"/>
    <w:footnote w:id="0"/>
    <w:footnote w:id="1"/>
  </w:foot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Times New Roman" w:cs="Times New Roman"/>
        <w:lang w:val="ru-RU" w:eastAsia="ru-RU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uiPriority="0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uiPriority="0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uiPriority="0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uiPriority="0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0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bd2f0e"/>
    <w:pPr>
      <w:widowControl/>
      <w:suppressAutoHyphens w:val="true"/>
      <w:bidi w:val="0"/>
      <w:spacing w:lineRule="auto" w:line="276" w:before="0" w:after="200"/>
      <w:jc w:val="left"/>
    </w:pPr>
    <w:rPr>
      <w:rFonts w:ascii="Calibri" w:hAnsi="Calibri" w:eastAsia="Times New Roman" w:cs="Times New Roman"/>
      <w:color w:val="auto"/>
      <w:kern w:val="0"/>
      <w:sz w:val="22"/>
      <w:szCs w:val="22"/>
      <w:lang w:val="ru-RU" w:eastAsia="ru-RU" w:bidi="ar-SA"/>
    </w:rPr>
  </w:style>
  <w:style w:type="paragraph" w:styleId="Heading1">
    <w:name w:val="Heading 1"/>
    <w:basedOn w:val="Normal"/>
    <w:next w:val="Normal"/>
    <w:link w:val="11"/>
    <w:uiPriority w:val="9"/>
    <w:qFormat/>
    <w:rsid w:val="00bb18d9"/>
    <w:pPr>
      <w:keepNext w:val="true"/>
      <w:keepLines/>
      <w:spacing w:lineRule="auto" w:line="240" w:before="480" w:after="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Heading2">
    <w:name w:val="Heading 2"/>
    <w:basedOn w:val="Normal"/>
    <w:next w:val="Normal"/>
    <w:link w:val="2"/>
    <w:uiPriority w:val="9"/>
    <w:unhideWhenUsed/>
    <w:qFormat/>
    <w:rsid w:val="00d4745f"/>
    <w:pPr>
      <w:keepNext w:val="true"/>
      <w:keepLines/>
      <w:spacing w:before="200" w:after="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Heading3">
    <w:name w:val="Heading 3"/>
    <w:basedOn w:val="Normal"/>
    <w:next w:val="Normal"/>
    <w:link w:val="3"/>
    <w:uiPriority w:val="9"/>
    <w:qFormat/>
    <w:rsid w:val="00bb18d9"/>
    <w:pPr>
      <w:keepNext w:val="true"/>
      <w:keepLines/>
      <w:spacing w:lineRule="auto" w:line="240" w:before="200" w:after="0"/>
      <w:outlineLvl w:val="2"/>
    </w:pPr>
    <w:rPr>
      <w:rFonts w:ascii="Cambria" w:hAnsi="Cambria"/>
      <w:b/>
      <w:bCs/>
      <w:color w:val="4F81BD"/>
      <w:sz w:val="20"/>
      <w:szCs w:val="20"/>
    </w:rPr>
  </w:style>
  <w:style w:type="paragraph" w:styleId="Heading4">
    <w:name w:val="Heading 4"/>
    <w:basedOn w:val="Normal"/>
    <w:next w:val="Normal"/>
    <w:link w:val="4"/>
    <w:uiPriority w:val="9"/>
    <w:qFormat/>
    <w:rsid w:val="00bb18d9"/>
    <w:pPr>
      <w:keepNext w:val="true"/>
      <w:keepLines/>
      <w:spacing w:lineRule="auto" w:line="240" w:before="200" w:after="0"/>
      <w:outlineLvl w:val="3"/>
    </w:pPr>
    <w:rPr>
      <w:rFonts w:ascii="Cambria" w:hAnsi="Cambria"/>
      <w:b/>
      <w:bCs/>
      <w:i/>
      <w:iCs/>
      <w:color w:val="4F81BD"/>
      <w:sz w:val="20"/>
      <w:szCs w:val="20"/>
    </w:rPr>
  </w:style>
  <w:style w:type="paragraph" w:styleId="Heading5">
    <w:name w:val="Heading 5"/>
    <w:basedOn w:val="Normal"/>
    <w:next w:val="Normal"/>
    <w:link w:val="5"/>
    <w:uiPriority w:val="9"/>
    <w:qFormat/>
    <w:rsid w:val="00bb18d9"/>
    <w:pPr>
      <w:keepNext w:val="true"/>
      <w:keepLines/>
      <w:spacing w:lineRule="auto" w:line="240" w:before="200" w:after="0"/>
      <w:outlineLvl w:val="4"/>
    </w:pPr>
    <w:rPr>
      <w:rFonts w:ascii="Cambria" w:hAnsi="Cambria"/>
      <w:color w:val="243F60"/>
      <w:sz w:val="20"/>
      <w:szCs w:val="20"/>
    </w:rPr>
  </w:style>
  <w:style w:type="paragraph" w:styleId="Heading6">
    <w:name w:val="Heading 6"/>
    <w:basedOn w:val="Normal"/>
    <w:next w:val="Normal"/>
    <w:link w:val="6"/>
    <w:uiPriority w:val="9"/>
    <w:qFormat/>
    <w:rsid w:val="00bb18d9"/>
    <w:pPr>
      <w:keepNext w:val="true"/>
      <w:keepLines/>
      <w:spacing w:lineRule="auto" w:line="240" w:before="200" w:after="0"/>
      <w:outlineLvl w:val="5"/>
    </w:pPr>
    <w:rPr>
      <w:rFonts w:ascii="Cambria" w:hAnsi="Cambria"/>
      <w:i/>
      <w:iCs/>
      <w:color w:val="243F60"/>
      <w:sz w:val="20"/>
      <w:szCs w:val="20"/>
    </w:rPr>
  </w:style>
  <w:style w:type="paragraph" w:styleId="Heading7">
    <w:name w:val="Heading 7"/>
    <w:basedOn w:val="Normal"/>
    <w:next w:val="Normal"/>
    <w:link w:val="7"/>
    <w:uiPriority w:val="9"/>
    <w:qFormat/>
    <w:rsid w:val="00bb18d9"/>
    <w:pPr>
      <w:keepNext w:val="true"/>
      <w:keepLines/>
      <w:spacing w:lineRule="auto" w:line="240" w:before="200" w:after="0"/>
      <w:outlineLvl w:val="6"/>
    </w:pPr>
    <w:rPr>
      <w:rFonts w:ascii="Cambria" w:hAnsi="Cambria"/>
      <w:i/>
      <w:iCs/>
      <w:color w:val="404040"/>
      <w:sz w:val="20"/>
      <w:szCs w:val="20"/>
    </w:rPr>
  </w:style>
  <w:style w:type="paragraph" w:styleId="Heading8">
    <w:name w:val="Heading 8"/>
    <w:basedOn w:val="Normal"/>
    <w:next w:val="Normal"/>
    <w:link w:val="8"/>
    <w:uiPriority w:val="9"/>
    <w:qFormat/>
    <w:rsid w:val="00bb18d9"/>
    <w:pPr>
      <w:keepNext w:val="true"/>
      <w:keepLines/>
      <w:spacing w:lineRule="auto" w:line="240" w:before="200" w:after="0"/>
      <w:outlineLvl w:val="7"/>
    </w:pPr>
    <w:rPr>
      <w:rFonts w:ascii="Cambria" w:hAnsi="Cambria"/>
      <w:color w:val="4F81BD"/>
      <w:sz w:val="20"/>
      <w:szCs w:val="20"/>
    </w:rPr>
  </w:style>
  <w:style w:type="paragraph" w:styleId="Heading9">
    <w:name w:val="Heading 9"/>
    <w:basedOn w:val="Normal"/>
    <w:next w:val="Normal"/>
    <w:link w:val="9"/>
    <w:uiPriority w:val="9"/>
    <w:qFormat/>
    <w:rsid w:val="00bb18d9"/>
    <w:pPr>
      <w:keepNext w:val="true"/>
      <w:keepLines/>
      <w:spacing w:lineRule="auto" w:line="240" w:before="200" w:after="0"/>
      <w:outlineLvl w:val="8"/>
    </w:pPr>
    <w:rPr>
      <w:rFonts w:ascii="Cambria" w:hAnsi="Cambria"/>
      <w:i/>
      <w:iCs/>
      <w:color w:val="404040"/>
      <w:sz w:val="20"/>
      <w:szCs w:val="20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Annotationreference">
    <w:name w:val="annotation reference"/>
    <w:qFormat/>
    <w:rsid w:val="00cb04da"/>
    <w:rPr>
      <w:sz w:val="16"/>
      <w:szCs w:val="16"/>
    </w:rPr>
  </w:style>
  <w:style w:type="character" w:styleId="Style" w:customStyle="1">
    <w:name w:val="Текст примечания Знак"/>
    <w:link w:val="Annotationtext"/>
    <w:qFormat/>
    <w:rsid w:val="00cb04da"/>
    <w:rPr>
      <w:rFonts w:ascii="Times New Roman" w:hAnsi="Times New Roman" w:eastAsia="Times New Roman" w:cs="Times New Roman"/>
      <w:sz w:val="20"/>
      <w:szCs w:val="20"/>
      <w:lang w:eastAsia="ru-RU"/>
    </w:rPr>
  </w:style>
  <w:style w:type="character" w:styleId="Style1" w:customStyle="1">
    <w:name w:val="Текст выноски Знак"/>
    <w:link w:val="BalloonText"/>
    <w:uiPriority w:val="99"/>
    <w:semiHidden/>
    <w:qFormat/>
    <w:rsid w:val="00cb04da"/>
    <w:rPr>
      <w:rFonts w:ascii="Tahoma" w:hAnsi="Tahoma" w:cs="Tahoma"/>
      <w:sz w:val="16"/>
      <w:szCs w:val="16"/>
    </w:rPr>
  </w:style>
  <w:style w:type="character" w:styleId="2" w:customStyle="1">
    <w:name w:val="Заголовок 2 Знак"/>
    <w:uiPriority w:val="9"/>
    <w:qFormat/>
    <w:rsid w:val="00d4745f"/>
    <w:rPr>
      <w:rFonts w:ascii="Cambria" w:hAnsi="Cambria" w:eastAsia="Times New Roman" w:cs="Times New Roman"/>
      <w:b/>
      <w:bCs/>
      <w:color w:val="4F81BD"/>
      <w:sz w:val="26"/>
      <w:szCs w:val="26"/>
    </w:rPr>
  </w:style>
  <w:style w:type="character" w:styleId="Hyperlink">
    <w:name w:val="Hyperlink"/>
    <w:uiPriority w:val="99"/>
    <w:rsid w:val="00d4745f"/>
    <w:rPr>
      <w:color w:val="0000FF"/>
      <w:u w:val="single"/>
    </w:rPr>
  </w:style>
  <w:style w:type="character" w:styleId="Apple-style-span" w:customStyle="1">
    <w:name w:val="apple-style-span"/>
    <w:basedOn w:val="DefaultParagraphFont"/>
    <w:qFormat/>
    <w:rsid w:val="00b4339d"/>
    <w:rPr/>
  </w:style>
  <w:style w:type="character" w:styleId="Apple-converted-space" w:customStyle="1">
    <w:name w:val="apple-converted-space"/>
    <w:basedOn w:val="DefaultParagraphFont"/>
    <w:qFormat/>
    <w:rsid w:val="00b4339d"/>
    <w:rPr/>
  </w:style>
  <w:style w:type="character" w:styleId="Style2" w:customStyle="1">
    <w:name w:val="Текст сноски Знак"/>
    <w:uiPriority w:val="99"/>
    <w:qFormat/>
    <w:rsid w:val="0080406e"/>
    <w:rPr>
      <w:rFonts w:ascii="Times New Roman" w:hAnsi="Times New Roman" w:eastAsia="Calibri" w:cs="Times New Roman"/>
      <w:sz w:val="20"/>
      <w:szCs w:val="20"/>
      <w:lang w:eastAsia="ru-RU"/>
    </w:rPr>
  </w:style>
  <w:style w:type="character" w:styleId="Style3">
    <w:name w:val="Символ сноски"/>
    <w:uiPriority w:val="99"/>
    <w:unhideWhenUsed/>
    <w:qFormat/>
    <w:rsid w:val="0080406e"/>
    <w:rPr>
      <w:vertAlign w:val="superscript"/>
    </w:rPr>
  </w:style>
  <w:style w:type="character" w:styleId="FootnoteReference">
    <w:name w:val="Footnote Reference"/>
    <w:rPr>
      <w:vertAlign w:val="superscript"/>
    </w:rPr>
  </w:style>
  <w:style w:type="character" w:styleId="1" w:customStyle="1">
    <w:name w:val="Подпункт Знак1"/>
    <w:link w:val="Style25"/>
    <w:qFormat/>
    <w:locked/>
    <w:rsid w:val="00192f26"/>
    <w:rPr>
      <w:rFonts w:ascii="Times New Roman" w:hAnsi="Times New Roman"/>
      <w:b/>
      <w:sz w:val="28"/>
    </w:rPr>
  </w:style>
  <w:style w:type="character" w:styleId="Style4" w:customStyle="1">
    <w:name w:val="Верхний колонтитул Знак"/>
    <w:basedOn w:val="DefaultParagraphFont"/>
    <w:uiPriority w:val="99"/>
    <w:qFormat/>
    <w:rsid w:val="00ff6229"/>
    <w:rPr/>
  </w:style>
  <w:style w:type="character" w:styleId="Style5" w:customStyle="1">
    <w:name w:val="Нижний колонтитул Знак"/>
    <w:basedOn w:val="DefaultParagraphFont"/>
    <w:uiPriority w:val="99"/>
    <w:qFormat/>
    <w:rsid w:val="00ff6229"/>
    <w:rPr/>
  </w:style>
  <w:style w:type="character" w:styleId="Linenumber">
    <w:name w:val="line number"/>
    <w:basedOn w:val="DefaultParagraphFont"/>
    <w:uiPriority w:val="99"/>
    <w:semiHidden/>
    <w:unhideWhenUsed/>
    <w:qFormat/>
    <w:rsid w:val="00ff6229"/>
    <w:rPr/>
  </w:style>
  <w:style w:type="character" w:styleId="Style6" w:customStyle="1">
    <w:name w:val="Схема документа Знак"/>
    <w:link w:val="DocumentMap"/>
    <w:uiPriority w:val="99"/>
    <w:semiHidden/>
    <w:qFormat/>
    <w:rsid w:val="0040689f"/>
    <w:rPr>
      <w:rFonts w:ascii="Tahoma" w:hAnsi="Tahoma" w:cs="Tahoma"/>
      <w:sz w:val="16"/>
      <w:szCs w:val="16"/>
    </w:rPr>
  </w:style>
  <w:style w:type="character" w:styleId="11" w:customStyle="1">
    <w:name w:val="Заголовок 1 Знак"/>
    <w:uiPriority w:val="9"/>
    <w:qFormat/>
    <w:rsid w:val="00bb18d9"/>
    <w:rPr>
      <w:rFonts w:ascii="Cambria" w:hAnsi="Cambria" w:eastAsia="Times New Roman" w:cs="Times New Roman"/>
      <w:b/>
      <w:bCs/>
      <w:color w:val="365F91"/>
      <w:sz w:val="28"/>
      <w:szCs w:val="28"/>
    </w:rPr>
  </w:style>
  <w:style w:type="character" w:styleId="3" w:customStyle="1">
    <w:name w:val="Заголовок 3 Знак"/>
    <w:uiPriority w:val="9"/>
    <w:qFormat/>
    <w:rsid w:val="00bb18d9"/>
    <w:rPr>
      <w:rFonts w:ascii="Cambria" w:hAnsi="Cambria" w:eastAsia="Times New Roman" w:cs="Times New Roman"/>
      <w:b/>
      <w:bCs/>
      <w:color w:val="4F81BD"/>
      <w:sz w:val="20"/>
      <w:szCs w:val="20"/>
    </w:rPr>
  </w:style>
  <w:style w:type="character" w:styleId="4" w:customStyle="1">
    <w:name w:val="Заголовок 4 Знак"/>
    <w:uiPriority w:val="9"/>
    <w:qFormat/>
    <w:rsid w:val="00bb18d9"/>
    <w:rPr>
      <w:rFonts w:ascii="Cambria" w:hAnsi="Cambria" w:eastAsia="Times New Roman" w:cs="Times New Roman"/>
      <w:b/>
      <w:bCs/>
      <w:i/>
      <w:iCs/>
      <w:color w:val="4F81BD"/>
      <w:sz w:val="20"/>
      <w:szCs w:val="20"/>
    </w:rPr>
  </w:style>
  <w:style w:type="character" w:styleId="5" w:customStyle="1">
    <w:name w:val="Заголовок 5 Знак"/>
    <w:uiPriority w:val="9"/>
    <w:qFormat/>
    <w:rsid w:val="00bb18d9"/>
    <w:rPr>
      <w:rFonts w:ascii="Cambria" w:hAnsi="Cambria" w:eastAsia="Times New Roman" w:cs="Times New Roman"/>
      <w:color w:val="243F60"/>
      <w:sz w:val="20"/>
      <w:szCs w:val="20"/>
    </w:rPr>
  </w:style>
  <w:style w:type="character" w:styleId="6" w:customStyle="1">
    <w:name w:val="Заголовок 6 Знак"/>
    <w:uiPriority w:val="9"/>
    <w:qFormat/>
    <w:rsid w:val="00bb18d9"/>
    <w:rPr>
      <w:rFonts w:ascii="Cambria" w:hAnsi="Cambria" w:eastAsia="Times New Roman" w:cs="Times New Roman"/>
      <w:i/>
      <w:iCs/>
      <w:color w:val="243F60"/>
      <w:sz w:val="20"/>
      <w:szCs w:val="20"/>
    </w:rPr>
  </w:style>
  <w:style w:type="character" w:styleId="7" w:customStyle="1">
    <w:name w:val="Заголовок 7 Знак"/>
    <w:uiPriority w:val="9"/>
    <w:qFormat/>
    <w:rsid w:val="00bb18d9"/>
    <w:rPr>
      <w:rFonts w:ascii="Cambria" w:hAnsi="Cambria" w:eastAsia="Times New Roman" w:cs="Times New Roman"/>
      <w:i/>
      <w:iCs/>
      <w:color w:val="404040"/>
      <w:sz w:val="20"/>
      <w:szCs w:val="20"/>
    </w:rPr>
  </w:style>
  <w:style w:type="character" w:styleId="8" w:customStyle="1">
    <w:name w:val="Заголовок 8 Знак"/>
    <w:uiPriority w:val="9"/>
    <w:qFormat/>
    <w:rsid w:val="00bb18d9"/>
    <w:rPr>
      <w:rFonts w:ascii="Cambria" w:hAnsi="Cambria" w:eastAsia="Times New Roman" w:cs="Times New Roman"/>
      <w:color w:val="4F81BD"/>
      <w:sz w:val="20"/>
      <w:szCs w:val="20"/>
    </w:rPr>
  </w:style>
  <w:style w:type="character" w:styleId="9" w:customStyle="1">
    <w:name w:val="Заголовок 9 Знак"/>
    <w:uiPriority w:val="9"/>
    <w:qFormat/>
    <w:rsid w:val="00bb18d9"/>
    <w:rPr>
      <w:rFonts w:ascii="Cambria" w:hAnsi="Cambria" w:eastAsia="Times New Roman" w:cs="Times New Roman"/>
      <w:i/>
      <w:iCs/>
      <w:color w:val="404040"/>
      <w:sz w:val="20"/>
      <w:szCs w:val="20"/>
    </w:rPr>
  </w:style>
  <w:style w:type="character" w:styleId="Style7" w:customStyle="1">
    <w:name w:val="Название Знак"/>
    <w:link w:val="15"/>
    <w:uiPriority w:val="10"/>
    <w:qFormat/>
    <w:rsid w:val="00bb18d9"/>
    <w:rPr>
      <w:rFonts w:ascii="Cambria" w:hAnsi="Cambria" w:eastAsia="Times New Roman" w:cs="Times New Roman"/>
      <w:color w:val="17365D"/>
      <w:spacing w:val="5"/>
      <w:kern w:val="2"/>
      <w:sz w:val="52"/>
      <w:szCs w:val="52"/>
    </w:rPr>
  </w:style>
  <w:style w:type="character" w:styleId="Style8" w:customStyle="1">
    <w:name w:val="Подзаголовок Знак"/>
    <w:uiPriority w:val="11"/>
    <w:qFormat/>
    <w:rsid w:val="00bb18d9"/>
    <w:rPr>
      <w:rFonts w:ascii="Cambria" w:hAnsi="Cambria" w:eastAsia="Times New Roman" w:cs="Times New Roman"/>
      <w:i/>
      <w:iCs/>
      <w:color w:val="4F81BD"/>
      <w:spacing w:val="15"/>
      <w:sz w:val="24"/>
      <w:szCs w:val="24"/>
    </w:rPr>
  </w:style>
  <w:style w:type="character" w:styleId="Strong">
    <w:name w:val="Strong"/>
    <w:uiPriority w:val="22"/>
    <w:qFormat/>
    <w:rsid w:val="00bb18d9"/>
    <w:rPr>
      <w:b/>
      <w:bCs/>
    </w:rPr>
  </w:style>
  <w:style w:type="character" w:styleId="Emphasis">
    <w:name w:val="Emphasis"/>
    <w:uiPriority w:val="20"/>
    <w:qFormat/>
    <w:rsid w:val="00bb18d9"/>
    <w:rPr>
      <w:i/>
      <w:iCs/>
    </w:rPr>
  </w:style>
  <w:style w:type="character" w:styleId="21" w:customStyle="1">
    <w:name w:val="Цитата 2 Знак"/>
    <w:link w:val="Quote"/>
    <w:uiPriority w:val="29"/>
    <w:qFormat/>
    <w:rsid w:val="00bb18d9"/>
    <w:rPr>
      <w:rFonts w:ascii="Calibri" w:hAnsi="Calibri" w:eastAsia="Calibri" w:cs="Times New Roman"/>
      <w:i/>
      <w:iCs/>
      <w:color w:val="000000"/>
      <w:sz w:val="20"/>
      <w:szCs w:val="20"/>
    </w:rPr>
  </w:style>
  <w:style w:type="character" w:styleId="Style9" w:customStyle="1">
    <w:name w:val="Выделенная цитата Знак"/>
    <w:link w:val="IntenseQuote"/>
    <w:uiPriority w:val="30"/>
    <w:qFormat/>
    <w:rsid w:val="00bb18d9"/>
    <w:rPr>
      <w:rFonts w:ascii="Calibri" w:hAnsi="Calibri" w:eastAsia="Calibri" w:cs="Times New Roman"/>
      <w:b/>
      <w:bCs/>
      <w:i/>
      <w:iCs/>
      <w:color w:val="4F81BD"/>
      <w:sz w:val="20"/>
      <w:szCs w:val="20"/>
    </w:rPr>
  </w:style>
  <w:style w:type="character" w:styleId="SubtleEmphasis">
    <w:name w:val="Subtle Emphasis"/>
    <w:uiPriority w:val="19"/>
    <w:qFormat/>
    <w:rsid w:val="00bb18d9"/>
    <w:rPr>
      <w:i/>
      <w:iCs/>
      <w:color w:val="808080"/>
    </w:rPr>
  </w:style>
  <w:style w:type="character" w:styleId="IntenseEmphasis">
    <w:name w:val="Intense Emphasis"/>
    <w:uiPriority w:val="21"/>
    <w:qFormat/>
    <w:rsid w:val="00bb18d9"/>
    <w:rPr>
      <w:b/>
      <w:bCs/>
      <w:i/>
      <w:iCs/>
      <w:color w:val="4F81BD"/>
    </w:rPr>
  </w:style>
  <w:style w:type="character" w:styleId="SubtleReference">
    <w:name w:val="Subtle Reference"/>
    <w:uiPriority w:val="31"/>
    <w:qFormat/>
    <w:rsid w:val="00bb18d9"/>
    <w:rPr>
      <w:smallCaps/>
      <w:color w:val="C0504D"/>
      <w:u w:val="single"/>
    </w:rPr>
  </w:style>
  <w:style w:type="character" w:styleId="IntenseReference">
    <w:name w:val="Intense Reference"/>
    <w:uiPriority w:val="32"/>
    <w:qFormat/>
    <w:rsid w:val="00bb18d9"/>
    <w:rPr>
      <w:b/>
      <w:bCs/>
      <w:smallCaps/>
      <w:color w:val="C0504D"/>
      <w:spacing w:val="5"/>
      <w:u w:val="single"/>
    </w:rPr>
  </w:style>
  <w:style w:type="character" w:styleId="BookTitle">
    <w:name w:val="Book Title"/>
    <w:uiPriority w:val="33"/>
    <w:qFormat/>
    <w:rsid w:val="00bb18d9"/>
    <w:rPr>
      <w:b/>
      <w:bCs/>
      <w:smallCaps/>
      <w:spacing w:val="5"/>
    </w:rPr>
  </w:style>
  <w:style w:type="character" w:styleId="Style10" w:customStyle="1">
    <w:name w:val="Электронная подпись Знак"/>
    <w:link w:val="E-mailSignature"/>
    <w:uiPriority w:val="99"/>
    <w:semiHidden/>
    <w:qFormat/>
    <w:rsid w:val="00bb18d9"/>
    <w:rPr>
      <w:rFonts w:ascii="Times New Roman" w:hAnsi="Times New Roman" w:eastAsia="Calibri" w:cs="Times New Roman"/>
      <w:sz w:val="24"/>
      <w:szCs w:val="24"/>
      <w:lang w:eastAsia="ru-RU"/>
    </w:rPr>
  </w:style>
  <w:style w:type="character" w:styleId="Style11" w:customStyle="1">
    <w:name w:val="Тема примечания Знак"/>
    <w:link w:val="Annotationsubject"/>
    <w:semiHidden/>
    <w:qFormat/>
    <w:rsid w:val="00bb18d9"/>
    <w:rPr>
      <w:rFonts w:ascii="Times New Roman" w:hAnsi="Times New Roman" w:eastAsia="Calibri" w:cs="Times New Roman"/>
      <w:b/>
      <w:bCs/>
      <w:sz w:val="20"/>
      <w:szCs w:val="20"/>
      <w:lang w:eastAsia="ru-RU"/>
    </w:rPr>
  </w:style>
  <w:style w:type="character" w:styleId="Style12" w:customStyle="1">
    <w:name w:val="Основной текст с отступом Знак"/>
    <w:qFormat/>
    <w:rsid w:val="008757e8"/>
    <w:rPr>
      <w:rFonts w:ascii="Times New Roman" w:hAnsi="Times New Roman" w:eastAsia="Times New Roman" w:cs="Times New Roman"/>
      <w:sz w:val="28"/>
      <w:szCs w:val="28"/>
      <w:lang w:eastAsia="ru-RU"/>
    </w:rPr>
  </w:style>
  <w:style w:type="character" w:styleId="FollowedHyperlink">
    <w:name w:val="FollowedHyperlink"/>
    <w:uiPriority w:val="99"/>
    <w:semiHidden/>
    <w:unhideWhenUsed/>
    <w:rsid w:val="00b211e3"/>
    <w:rPr>
      <w:color w:val="954F72"/>
      <w:u w:val="single"/>
    </w:rPr>
  </w:style>
  <w:style w:type="character" w:styleId="Style13" w:customStyle="1">
    <w:name w:val="Абзац списка Знак"/>
    <w:link w:val="ListParagraph"/>
    <w:uiPriority w:val="34"/>
    <w:qFormat/>
    <w:rsid w:val="00253374"/>
    <w:rPr>
      <w:sz w:val="22"/>
      <w:szCs w:val="22"/>
    </w:rPr>
  </w:style>
  <w:style w:type="character" w:styleId="61" w:customStyle="1">
    <w:name w:val="Основной текст (6)_"/>
    <w:basedOn w:val="DefaultParagraphFont"/>
    <w:link w:val="62"/>
    <w:qFormat/>
    <w:rsid w:val="00310980"/>
    <w:rPr>
      <w:rFonts w:ascii="Times New Roman" w:hAnsi="Times New Roman"/>
      <w:shd w:fill="FFFFFF" w:val="clear"/>
    </w:rPr>
  </w:style>
  <w:style w:type="character" w:styleId="Style14" w:customStyle="1">
    <w:name w:val="Колонтитул_"/>
    <w:basedOn w:val="DefaultParagraphFont"/>
    <w:link w:val="Style29"/>
    <w:qFormat/>
    <w:rsid w:val="006d08bc"/>
    <w:rPr>
      <w:rFonts w:ascii="Times New Roman" w:hAnsi="Times New Roman"/>
      <w:shd w:fill="FFFFFF" w:val="clear"/>
    </w:rPr>
  </w:style>
  <w:style w:type="character" w:styleId="Style15" w:customStyle="1">
    <w:name w:val="комментарий"/>
    <w:qFormat/>
    <w:rsid w:val="008d2ec1"/>
    <w:rPr>
      <w:b/>
      <w:i/>
      <w:shd w:fill="FFFF99" w:val="clear"/>
    </w:rPr>
  </w:style>
  <w:style w:type="character" w:styleId="ConsPlusNormal" w:customStyle="1">
    <w:name w:val="ConsPlusNormal Знак"/>
    <w:link w:val="ConsPlusNormal1"/>
    <w:qFormat/>
    <w:rsid w:val="00170c47"/>
    <w:rPr>
      <w:rFonts w:ascii="Arial" w:hAnsi="Arial" w:cs="Arial"/>
    </w:rPr>
  </w:style>
  <w:style w:type="character" w:styleId="12" w:customStyle="1">
    <w:name w:val="Абзац списка Знак1"/>
    <w:basedOn w:val="DefaultParagraphFont"/>
    <w:uiPriority w:val="34"/>
    <w:qFormat/>
    <w:rsid w:val="00a270f3"/>
    <w:rPr>
      <w:rFonts w:ascii="Calibri" w:hAnsi="Calibri"/>
      <w:sz w:val="22"/>
    </w:rPr>
  </w:style>
  <w:style w:type="character" w:styleId="Style16" w:customStyle="1">
    <w:name w:val="Текст концевой сноски Знак"/>
    <w:basedOn w:val="DefaultParagraphFont"/>
    <w:uiPriority w:val="99"/>
    <w:semiHidden/>
    <w:qFormat/>
    <w:rsid w:val="00dc37db"/>
    <w:rPr/>
  </w:style>
  <w:style w:type="character" w:styleId="Style17">
    <w:name w:val="Символ концевой сноски"/>
    <w:uiPriority w:val="99"/>
    <w:semiHidden/>
    <w:unhideWhenUsed/>
    <w:qFormat/>
    <w:rsid w:val="00dc37db"/>
    <w:rPr>
      <w:vertAlign w:val="superscript"/>
    </w:rPr>
  </w:style>
  <w:style w:type="character" w:styleId="EndnoteReference">
    <w:name w:val="Endnote Reference"/>
    <w:rPr>
      <w:vertAlign w:val="superscript"/>
    </w:rPr>
  </w:style>
  <w:style w:type="character" w:styleId="PlaceholderText">
    <w:name w:val="Placeholder Text"/>
    <w:basedOn w:val="DefaultParagraphFont"/>
    <w:uiPriority w:val="99"/>
    <w:semiHidden/>
    <w:qFormat/>
    <w:rsid w:val="00470434"/>
    <w:rPr>
      <w:color w:val="808080"/>
    </w:rPr>
  </w:style>
  <w:style w:type="character" w:styleId="Style18" w:customStyle="1">
    <w:name w:val="РГ_номер текста табл Знак"/>
    <w:basedOn w:val="12"/>
    <w:link w:val="Style34"/>
    <w:qFormat/>
    <w:rsid w:val="00470434"/>
    <w:rPr>
      <w:rFonts w:ascii="Calibri" w:hAnsi="Calibri" w:eastAsia="Calibri" w:cs="Calibri" w:asciiTheme="minorHAnsi" w:cstheme="minorHAnsi" w:hAnsiTheme="minorHAnsi"/>
      <w:sz w:val="24"/>
      <w:szCs w:val="22"/>
      <w:lang w:eastAsia="en-US"/>
    </w:rPr>
  </w:style>
  <w:style w:type="paragraph" w:styleId="Style19">
    <w:name w:val="Заголовок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WenQuanYi Zen Hei Sharp" w:cs="Lohit Devanagari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Lohit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Style20">
    <w:name w:val="Указатель"/>
    <w:basedOn w:val="Normal"/>
    <w:qFormat/>
    <w:pPr>
      <w:suppressLineNumbers/>
    </w:pPr>
    <w:rPr>
      <w:rFonts w:cs="Lohit Devanagari"/>
    </w:rPr>
  </w:style>
  <w:style w:type="paragraph" w:styleId="ListParagraph">
    <w:name w:val="List Paragraph"/>
    <w:basedOn w:val="Normal"/>
    <w:link w:val="Style13"/>
    <w:uiPriority w:val="34"/>
    <w:qFormat/>
    <w:rsid w:val="00141d91"/>
    <w:pPr>
      <w:spacing w:before="0" w:after="200"/>
      <w:ind w:left="720" w:hanging="0"/>
      <w:contextualSpacing/>
    </w:pPr>
    <w:rPr/>
  </w:style>
  <w:style w:type="paragraph" w:styleId="Annotationtext">
    <w:name w:val="annotation text"/>
    <w:basedOn w:val="Normal"/>
    <w:link w:val="Style"/>
    <w:qFormat/>
    <w:rsid w:val="00cb04da"/>
    <w:pPr>
      <w:spacing w:lineRule="auto" w:line="240" w:before="0" w:after="0"/>
    </w:pPr>
    <w:rPr>
      <w:rFonts w:ascii="Times New Roman" w:hAnsi="Times New Roman"/>
      <w:sz w:val="20"/>
      <w:szCs w:val="20"/>
    </w:rPr>
  </w:style>
  <w:style w:type="paragraph" w:styleId="BalloonText">
    <w:name w:val="Balloon Text"/>
    <w:basedOn w:val="Normal"/>
    <w:link w:val="Style1"/>
    <w:semiHidden/>
    <w:unhideWhenUsed/>
    <w:qFormat/>
    <w:rsid w:val="00cb04da"/>
    <w:pPr>
      <w:spacing w:lineRule="auto" w:line="240" w:before="0" w:after="0"/>
    </w:pPr>
    <w:rPr>
      <w:rFonts w:ascii="Tahoma" w:hAnsi="Tahoma" w:cs="Tahoma"/>
      <w:sz w:val="16"/>
      <w:szCs w:val="16"/>
    </w:rPr>
  </w:style>
  <w:style w:type="paragraph" w:styleId="Style21" w:customStyle="1">
    <w:name w:val="Обычный+ без отступа"/>
    <w:basedOn w:val="Normal"/>
    <w:qFormat/>
    <w:rsid w:val="000a41f8"/>
    <w:pPr>
      <w:spacing w:lineRule="auto" w:line="360" w:before="120" w:after="0"/>
      <w:jc w:val="both"/>
    </w:pPr>
    <w:rPr>
      <w:rFonts w:ascii="Times New Roman" w:hAnsi="Times New Roman" w:eastAsia="MS Mincho"/>
      <w:sz w:val="28"/>
      <w:szCs w:val="28"/>
    </w:rPr>
  </w:style>
  <w:style w:type="paragraph" w:styleId="Style22" w:customStyle="1">
    <w:name w:val="Таблица шапка"/>
    <w:basedOn w:val="Normal"/>
    <w:qFormat/>
    <w:rsid w:val="008b7e3f"/>
    <w:pPr>
      <w:keepNext w:val="true"/>
      <w:spacing w:lineRule="auto" w:line="240" w:before="40" w:after="40"/>
      <w:ind w:left="57" w:right="57" w:hanging="0"/>
    </w:pPr>
    <w:rPr>
      <w:rFonts w:ascii="Times New Roman" w:hAnsi="Times New Roman"/>
      <w:sz w:val="18"/>
      <w:szCs w:val="18"/>
    </w:rPr>
  </w:style>
  <w:style w:type="paragraph" w:styleId="Style23" w:customStyle="1">
    <w:name w:val="Текст таблицы"/>
    <w:basedOn w:val="Normal"/>
    <w:qFormat/>
    <w:rsid w:val="008b7e3f"/>
    <w:pPr>
      <w:spacing w:lineRule="auto" w:line="240" w:before="40" w:after="40"/>
      <w:ind w:left="57" w:right="57" w:hanging="0"/>
    </w:pPr>
    <w:rPr>
      <w:rFonts w:ascii="Times New Roman" w:hAnsi="Times New Roman"/>
      <w:sz w:val="24"/>
      <w:szCs w:val="24"/>
    </w:rPr>
  </w:style>
  <w:style w:type="paragraph" w:styleId="Style24" w:customStyle="1">
    <w:name w:val="Пункт Знак"/>
    <w:basedOn w:val="Normal"/>
    <w:qFormat/>
    <w:rsid w:val="00112ebd"/>
    <w:pPr>
      <w:numPr>
        <w:ilvl w:val="1"/>
        <w:numId w:val="1"/>
      </w:numPr>
      <w:tabs>
        <w:tab w:val="clear" w:pos="709"/>
        <w:tab w:val="left" w:pos="851" w:leader="none"/>
        <w:tab w:val="left" w:pos="1134" w:leader="none"/>
      </w:tabs>
      <w:spacing w:lineRule="auto" w:line="360" w:before="0" w:after="0"/>
      <w:jc w:val="both"/>
    </w:pPr>
    <w:rPr>
      <w:rFonts w:ascii="Times New Roman" w:hAnsi="Times New Roman"/>
      <w:b/>
      <w:sz w:val="28"/>
      <w:szCs w:val="20"/>
    </w:rPr>
  </w:style>
  <w:style w:type="paragraph" w:styleId="Style25" w:customStyle="1">
    <w:name w:val="Подпункт"/>
    <w:basedOn w:val="Style24"/>
    <w:link w:val="1"/>
    <w:qFormat/>
    <w:rsid w:val="00b5006b"/>
    <w:pPr>
      <w:numPr>
        <w:ilvl w:val="2"/>
      </w:numPr>
      <w:tabs>
        <w:tab w:val="clear" w:pos="1134"/>
        <w:tab w:val="left" w:pos="851" w:leader="none"/>
      </w:tabs>
    </w:pPr>
    <w:rPr/>
  </w:style>
  <w:style w:type="paragraph" w:styleId="Style26" w:customStyle="1">
    <w:name w:val="Подподпункт"/>
    <w:basedOn w:val="Style25"/>
    <w:qFormat/>
    <w:rsid w:val="00b5006b"/>
    <w:pPr>
      <w:numPr>
        <w:ilvl w:val="3"/>
      </w:numPr>
      <w:tabs>
        <w:tab w:val="left" w:pos="851" w:leader="none"/>
        <w:tab w:val="left" w:pos="1134" w:leader="none"/>
        <w:tab w:val="left" w:pos="1418" w:leader="none"/>
      </w:tabs>
    </w:pPr>
    <w:rPr/>
  </w:style>
  <w:style w:type="paragraph" w:styleId="Style27" w:customStyle="1">
    <w:name w:val="Подподподпункт"/>
    <w:basedOn w:val="Normal"/>
    <w:qFormat/>
    <w:rsid w:val="00112ebd"/>
    <w:pPr>
      <w:numPr>
        <w:ilvl w:val="4"/>
        <w:numId w:val="1"/>
      </w:numPr>
      <w:tabs>
        <w:tab w:val="clear" w:pos="709"/>
        <w:tab w:val="left" w:pos="1134" w:leader="none"/>
        <w:tab w:val="left" w:pos="1701" w:leader="none"/>
      </w:tabs>
      <w:spacing w:lineRule="auto" w:line="360" w:before="0" w:after="0"/>
      <w:jc w:val="both"/>
    </w:pPr>
    <w:rPr>
      <w:rFonts w:ascii="Times New Roman" w:hAnsi="Times New Roman"/>
      <w:sz w:val="28"/>
      <w:szCs w:val="20"/>
    </w:rPr>
  </w:style>
  <w:style w:type="paragraph" w:styleId="13" w:customStyle="1">
    <w:name w:val="Пункт1"/>
    <w:basedOn w:val="Normal"/>
    <w:qFormat/>
    <w:rsid w:val="00b5006b"/>
    <w:pPr>
      <w:numPr>
        <w:ilvl w:val="0"/>
        <w:numId w:val="1"/>
      </w:numPr>
      <w:spacing w:lineRule="auto" w:line="360" w:before="240" w:after="0"/>
      <w:jc w:val="center"/>
    </w:pPr>
    <w:rPr>
      <w:rFonts w:ascii="Arial" w:hAnsi="Arial"/>
      <w:b/>
      <w:sz w:val="28"/>
      <w:szCs w:val="28"/>
    </w:rPr>
  </w:style>
  <w:style w:type="paragraph" w:styleId="31" w:customStyle="1">
    <w:name w:val="Пункт_3"/>
    <w:basedOn w:val="Normal"/>
    <w:uiPriority w:val="99"/>
    <w:qFormat/>
    <w:rsid w:val="00112ebd"/>
    <w:pPr>
      <w:tabs>
        <w:tab w:val="clear" w:pos="709"/>
        <w:tab w:val="left" w:pos="1134" w:leader="none"/>
      </w:tabs>
      <w:spacing w:lineRule="auto" w:line="360" w:before="0" w:after="0"/>
      <w:ind w:left="1134" w:hanging="1133"/>
      <w:jc w:val="both"/>
    </w:pPr>
    <w:rPr>
      <w:rFonts w:ascii="Times New Roman" w:hAnsi="Times New Roman"/>
      <w:sz w:val="28"/>
      <w:szCs w:val="20"/>
    </w:rPr>
  </w:style>
  <w:style w:type="paragraph" w:styleId="TOC1">
    <w:name w:val="TOC 1"/>
    <w:basedOn w:val="Normal"/>
    <w:next w:val="Normal"/>
    <w:autoRedefine/>
    <w:uiPriority w:val="39"/>
    <w:rsid w:val="00b17e73"/>
    <w:pPr>
      <w:tabs>
        <w:tab w:val="clear" w:pos="709"/>
        <w:tab w:val="right" w:pos="9344" w:leader="dot"/>
      </w:tabs>
      <w:spacing w:lineRule="auto" w:line="240" w:before="0" w:after="0"/>
      <w:jc w:val="center"/>
    </w:pPr>
    <w:rPr>
      <w:rFonts w:ascii="Times New Roman" w:hAnsi="Times New Roman"/>
      <w:b/>
      <w:sz w:val="24"/>
      <w:szCs w:val="24"/>
    </w:rPr>
  </w:style>
  <w:style w:type="paragraph" w:styleId="TOC2">
    <w:name w:val="TOC 2"/>
    <w:basedOn w:val="Normal"/>
    <w:next w:val="Normal"/>
    <w:autoRedefine/>
    <w:uiPriority w:val="39"/>
    <w:unhideWhenUsed/>
    <w:rsid w:val="00b87d05"/>
    <w:pPr>
      <w:tabs>
        <w:tab w:val="clear" w:pos="709"/>
        <w:tab w:val="left" w:pos="426" w:leader="none"/>
        <w:tab w:val="left" w:pos="1680" w:leader="none"/>
        <w:tab w:val="right" w:pos="9344" w:leader="dot"/>
        <w:tab w:val="right" w:pos="9639" w:leader="dot"/>
      </w:tabs>
      <w:spacing w:before="0" w:after="0"/>
      <w:ind w:left="220" w:hanging="0"/>
    </w:pPr>
    <w:rPr/>
  </w:style>
  <w:style w:type="paragraph" w:styleId="FootnoteText">
    <w:name w:val="Footnote Text"/>
    <w:basedOn w:val="Normal"/>
    <w:link w:val="Style2"/>
    <w:uiPriority w:val="99"/>
    <w:unhideWhenUsed/>
    <w:rsid w:val="0080406e"/>
    <w:pPr>
      <w:spacing w:lineRule="auto" w:line="240" w:before="0" w:after="0"/>
    </w:pPr>
    <w:rPr>
      <w:rFonts w:ascii="Times New Roman" w:hAnsi="Times New Roman" w:eastAsia="Calibri"/>
      <w:sz w:val="20"/>
      <w:szCs w:val="20"/>
    </w:rPr>
  </w:style>
  <w:style w:type="paragraph" w:styleId="ConsPlusNormal1" w:customStyle="1">
    <w:name w:val="ConsPlusNormal"/>
    <w:link w:val="ConsPlusNormal"/>
    <w:qFormat/>
    <w:rsid w:val="00192f26"/>
    <w:pPr>
      <w:widowControl w:val="false"/>
      <w:suppressAutoHyphens w:val="true"/>
      <w:bidi w:val="0"/>
      <w:spacing w:before="0" w:after="0"/>
      <w:ind w:firstLine="720"/>
      <w:jc w:val="left"/>
    </w:pPr>
    <w:rPr>
      <w:rFonts w:ascii="Arial" w:hAnsi="Arial" w:eastAsia="Times New Roman" w:cs="Arial"/>
      <w:color w:val="auto"/>
      <w:kern w:val="0"/>
      <w:sz w:val="20"/>
      <w:szCs w:val="20"/>
      <w:lang w:val="ru-RU" w:eastAsia="ru-RU" w:bidi="ar-SA"/>
    </w:rPr>
  </w:style>
  <w:style w:type="paragraph" w:styleId="Style28" w:customStyle="1">
    <w:name w:val="Таблица"/>
    <w:basedOn w:val="Normal"/>
    <w:qFormat/>
    <w:rsid w:val="00192f26"/>
    <w:pPr>
      <w:spacing w:lineRule="auto" w:line="240" w:before="0" w:after="0"/>
    </w:pPr>
    <w:rPr>
      <w:rFonts w:ascii="Times New Roman" w:hAnsi="Times New Roman"/>
      <w:sz w:val="20"/>
      <w:szCs w:val="20"/>
    </w:rPr>
  </w:style>
  <w:style w:type="paragraph" w:styleId="14" w:customStyle="1">
    <w:name w:val="Абзац списка1"/>
    <w:basedOn w:val="Normal"/>
    <w:qFormat/>
    <w:rsid w:val="00192f26"/>
    <w:pPr>
      <w:spacing w:before="0" w:after="200"/>
      <w:ind w:left="720" w:hanging="0"/>
      <w:contextualSpacing/>
    </w:pPr>
    <w:rPr/>
  </w:style>
  <w:style w:type="paragraph" w:styleId="Style29" w:customStyle="1">
    <w:name w:val="Колонтитул"/>
    <w:basedOn w:val="Normal"/>
    <w:link w:val="Style14"/>
    <w:qFormat/>
    <w:rsid w:val="006d08bc"/>
    <w:pPr>
      <w:widowControl w:val="false"/>
      <w:shd w:val="clear" w:color="auto" w:fill="FFFFFF"/>
      <w:spacing w:lineRule="auto" w:line="240" w:before="0" w:after="0"/>
    </w:pPr>
    <w:rPr>
      <w:rFonts w:ascii="Times New Roman" w:hAnsi="Times New Roman"/>
      <w:sz w:val="20"/>
      <w:szCs w:val="20"/>
    </w:rPr>
  </w:style>
  <w:style w:type="paragraph" w:styleId="Header">
    <w:name w:val="Header"/>
    <w:basedOn w:val="Normal"/>
    <w:link w:val="Style4"/>
    <w:uiPriority w:val="99"/>
    <w:unhideWhenUsed/>
    <w:rsid w:val="00ff6229"/>
    <w:pPr>
      <w:tabs>
        <w:tab w:val="clear" w:pos="709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Footer">
    <w:name w:val="Footer"/>
    <w:basedOn w:val="Normal"/>
    <w:link w:val="Style5"/>
    <w:uiPriority w:val="99"/>
    <w:unhideWhenUsed/>
    <w:rsid w:val="00ff6229"/>
    <w:pPr>
      <w:tabs>
        <w:tab w:val="clear" w:pos="709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DocumentMap">
    <w:name w:val="Document Map"/>
    <w:basedOn w:val="Normal"/>
    <w:link w:val="Style6"/>
    <w:uiPriority w:val="99"/>
    <w:semiHidden/>
    <w:unhideWhenUsed/>
    <w:qFormat/>
    <w:rsid w:val="0040689f"/>
    <w:pPr>
      <w:spacing w:lineRule="auto" w:line="240" w:before="0" w:after="0"/>
    </w:pPr>
    <w:rPr>
      <w:rFonts w:ascii="Tahoma" w:hAnsi="Tahoma" w:cs="Tahoma"/>
      <w:sz w:val="16"/>
      <w:szCs w:val="16"/>
    </w:rPr>
  </w:style>
  <w:style w:type="paragraph" w:styleId="Style30" w:customStyle="1">
    <w:name w:val="Знак Знак Знак Знак Знак Знак Знак Знак Знак"/>
    <w:basedOn w:val="Normal"/>
    <w:qFormat/>
    <w:rsid w:val="00bb18d9"/>
    <w:pPr>
      <w:spacing w:lineRule="exact" w:line="240" w:before="0" w:after="160"/>
      <w:jc w:val="both"/>
    </w:pPr>
    <w:rPr>
      <w:rFonts w:ascii="Verdana" w:hAnsi="Verdana" w:cs="Verdana"/>
      <w:lang w:val="en-US"/>
    </w:rPr>
  </w:style>
  <w:style w:type="paragraph" w:styleId="NoSpacing">
    <w:name w:val="No Spacing"/>
    <w:basedOn w:val="Normal"/>
    <w:uiPriority w:val="1"/>
    <w:qFormat/>
    <w:rsid w:val="00bb18d9"/>
    <w:pPr>
      <w:spacing w:lineRule="auto" w:line="360" w:before="0" w:after="0"/>
    </w:pPr>
    <w:rPr>
      <w:rFonts w:ascii="Times New Roman" w:hAnsi="Times New Roman" w:eastAsia="Calibri"/>
      <w:sz w:val="24"/>
      <w:szCs w:val="24"/>
    </w:rPr>
  </w:style>
  <w:style w:type="paragraph" w:styleId="Caption1">
    <w:name w:val="caption1"/>
    <w:basedOn w:val="Normal"/>
    <w:next w:val="Normal"/>
    <w:uiPriority w:val="35"/>
    <w:qFormat/>
    <w:rsid w:val="00bb18d9"/>
    <w:pPr>
      <w:spacing w:lineRule="auto" w:line="240" w:before="0" w:after="0"/>
    </w:pPr>
    <w:rPr>
      <w:rFonts w:ascii="Times New Roman" w:hAnsi="Times New Roman" w:eastAsia="Calibri"/>
      <w:b/>
      <w:bCs/>
      <w:color w:val="4F81BD"/>
      <w:sz w:val="18"/>
      <w:szCs w:val="18"/>
    </w:rPr>
  </w:style>
  <w:style w:type="paragraph" w:styleId="15" w:customStyle="1">
    <w:name w:val="Название1"/>
    <w:basedOn w:val="Normal"/>
    <w:next w:val="Normal"/>
    <w:link w:val="Style7"/>
    <w:uiPriority w:val="10"/>
    <w:qFormat/>
    <w:rsid w:val="00bb18d9"/>
    <w:pPr>
      <w:pBdr>
        <w:bottom w:val="single" w:sz="8" w:space="4" w:color="4F81BD"/>
      </w:pBdr>
      <w:spacing w:lineRule="auto" w:line="240" w:before="0" w:after="300"/>
      <w:contextualSpacing/>
    </w:pPr>
    <w:rPr>
      <w:rFonts w:ascii="Cambria" w:hAnsi="Cambria"/>
      <w:color w:val="17365D"/>
      <w:spacing w:val="5"/>
      <w:kern w:val="2"/>
      <w:sz w:val="52"/>
      <w:szCs w:val="52"/>
    </w:rPr>
  </w:style>
  <w:style w:type="paragraph" w:styleId="Subtitle">
    <w:name w:val="Subtitle"/>
    <w:basedOn w:val="Normal"/>
    <w:next w:val="Normal"/>
    <w:link w:val="Style8"/>
    <w:uiPriority w:val="11"/>
    <w:qFormat/>
    <w:rsid w:val="00bb18d9"/>
    <w:pPr>
      <w:numPr>
        <w:ilvl w:val="1"/>
      </w:numPr>
      <w:spacing w:lineRule="auto" w:line="240" w:before="0" w:after="0"/>
      <w:ind w:left="1066" w:firstLine="709"/>
    </w:pPr>
    <w:rPr>
      <w:rFonts w:ascii="Cambria" w:hAnsi="Cambria"/>
      <w:i/>
      <w:iCs/>
      <w:color w:val="4F81BD"/>
      <w:spacing w:val="15"/>
      <w:sz w:val="24"/>
      <w:szCs w:val="24"/>
    </w:rPr>
  </w:style>
  <w:style w:type="paragraph" w:styleId="Quote">
    <w:name w:val="Quote"/>
    <w:basedOn w:val="Normal"/>
    <w:next w:val="Normal"/>
    <w:link w:val="21"/>
    <w:uiPriority w:val="29"/>
    <w:qFormat/>
    <w:rsid w:val="00bb18d9"/>
    <w:pPr>
      <w:spacing w:lineRule="auto" w:line="240" w:before="0" w:after="0"/>
    </w:pPr>
    <w:rPr>
      <w:rFonts w:eastAsia="Calibri"/>
      <w:i/>
      <w:iCs/>
      <w:color w:val="000000"/>
      <w:sz w:val="20"/>
      <w:szCs w:val="20"/>
    </w:rPr>
  </w:style>
  <w:style w:type="paragraph" w:styleId="IntenseQuote">
    <w:name w:val="Intense Quote"/>
    <w:basedOn w:val="Normal"/>
    <w:next w:val="Normal"/>
    <w:link w:val="Style9"/>
    <w:uiPriority w:val="30"/>
    <w:qFormat/>
    <w:rsid w:val="00bb18d9"/>
    <w:pPr>
      <w:pBdr>
        <w:bottom w:val="single" w:sz="4" w:space="4" w:color="4F81BD"/>
      </w:pBdr>
      <w:spacing w:lineRule="auto" w:line="240" w:before="200" w:after="280"/>
      <w:ind w:left="936" w:right="936" w:hanging="0"/>
    </w:pPr>
    <w:rPr>
      <w:rFonts w:eastAsia="Calibri"/>
      <w:b/>
      <w:bCs/>
      <w:i/>
      <w:iCs/>
      <w:color w:val="4F81BD"/>
      <w:sz w:val="20"/>
      <w:szCs w:val="20"/>
    </w:rPr>
  </w:style>
  <w:style w:type="paragraph" w:styleId="IndexHeading">
    <w:name w:val="Index Heading"/>
    <w:basedOn w:val="Style19"/>
    <w:pPr/>
    <w:rPr/>
  </w:style>
  <w:style w:type="paragraph" w:styleId="TOCHeading">
    <w:name w:val="TOC Heading"/>
    <w:basedOn w:val="Heading1"/>
    <w:next w:val="Normal"/>
    <w:uiPriority w:val="39"/>
    <w:qFormat/>
    <w:rsid w:val="00bb18d9"/>
    <w:pPr>
      <w:outlineLvl w:val="9"/>
    </w:pPr>
    <w:rPr/>
  </w:style>
  <w:style w:type="paragraph" w:styleId="E-mailSignature">
    <w:name w:val="E-mail Signature"/>
    <w:basedOn w:val="Normal"/>
    <w:link w:val="Style10"/>
    <w:uiPriority w:val="99"/>
    <w:semiHidden/>
    <w:unhideWhenUsed/>
    <w:qFormat/>
    <w:rsid w:val="00bb18d9"/>
    <w:pPr>
      <w:spacing w:lineRule="auto" w:line="240" w:before="0" w:after="0"/>
    </w:pPr>
    <w:rPr>
      <w:rFonts w:ascii="Times New Roman" w:hAnsi="Times New Roman" w:eastAsia="Calibri"/>
      <w:sz w:val="24"/>
      <w:szCs w:val="24"/>
    </w:rPr>
  </w:style>
  <w:style w:type="paragraph" w:styleId="Style31" w:customStyle="1">
    <w:name w:val="Знак"/>
    <w:basedOn w:val="Normal"/>
    <w:qFormat/>
    <w:rsid w:val="00bb18d9"/>
    <w:pPr>
      <w:spacing w:lineRule="exact" w:line="240" w:before="0" w:after="160"/>
    </w:pPr>
    <w:rPr>
      <w:rFonts w:ascii="Verdana" w:hAnsi="Verdana" w:cs="Verdana"/>
      <w:sz w:val="20"/>
      <w:szCs w:val="20"/>
      <w:lang w:val="en-US"/>
    </w:rPr>
  </w:style>
  <w:style w:type="paragraph" w:styleId="Annotationsubject">
    <w:name w:val="annotation subject"/>
    <w:basedOn w:val="Annotationtext"/>
    <w:next w:val="Annotationtext"/>
    <w:link w:val="Style11"/>
    <w:semiHidden/>
    <w:qFormat/>
    <w:rsid w:val="00bb18d9"/>
    <w:pPr/>
    <w:rPr>
      <w:rFonts w:eastAsia="Calibri"/>
      <w:b/>
      <w:bCs/>
    </w:rPr>
  </w:style>
  <w:style w:type="paragraph" w:styleId="32" w:customStyle="1">
    <w:name w:val="Нумерованный список ур3"/>
    <w:basedOn w:val="Normal"/>
    <w:qFormat/>
    <w:rsid w:val="00bb18d9"/>
    <w:pPr>
      <w:numPr>
        <w:ilvl w:val="2"/>
        <w:numId w:val="2"/>
      </w:numPr>
      <w:spacing w:lineRule="auto" w:line="240" w:before="0" w:after="0"/>
      <w:jc w:val="both"/>
    </w:pPr>
    <w:rPr>
      <w:rFonts w:ascii="Garamond" w:hAnsi="Garamond"/>
      <w:sz w:val="24"/>
      <w:szCs w:val="20"/>
    </w:rPr>
  </w:style>
  <w:style w:type="paragraph" w:styleId="ListBullet4" w:customStyle="1">
    <w:name w:val="List Bullet 4"/>
    <w:basedOn w:val="Normal"/>
    <w:qFormat/>
    <w:rsid w:val="00b5006b"/>
    <w:pPr>
      <w:numPr>
        <w:ilvl w:val="0"/>
        <w:numId w:val="2"/>
      </w:numPr>
      <w:spacing w:lineRule="auto" w:line="240" w:before="120" w:after="0"/>
      <w:jc w:val="both"/>
    </w:pPr>
    <w:rPr>
      <w:rFonts w:ascii="Garamond" w:hAnsi="Garamond"/>
      <w:sz w:val="24"/>
      <w:szCs w:val="20"/>
    </w:rPr>
  </w:style>
  <w:style w:type="paragraph" w:styleId="22" w:customStyle="1">
    <w:name w:val="Нумерованный список ур2"/>
    <w:basedOn w:val="Normal"/>
    <w:qFormat/>
    <w:rsid w:val="00bb18d9"/>
    <w:pPr>
      <w:numPr>
        <w:ilvl w:val="1"/>
        <w:numId w:val="2"/>
      </w:numPr>
      <w:spacing w:lineRule="auto" w:line="240" w:before="120" w:after="0"/>
      <w:jc w:val="both"/>
    </w:pPr>
    <w:rPr>
      <w:rFonts w:ascii="Garamond" w:hAnsi="Garamond"/>
      <w:sz w:val="24"/>
      <w:szCs w:val="20"/>
    </w:rPr>
  </w:style>
  <w:style w:type="paragraph" w:styleId="NormalWeb">
    <w:name w:val="Normal (Web)"/>
    <w:basedOn w:val="Normal"/>
    <w:uiPriority w:val="99"/>
    <w:qFormat/>
    <w:rsid w:val="00bb18d9"/>
    <w:pPr>
      <w:spacing w:lineRule="auto" w:line="240" w:before="30" w:after="30"/>
    </w:pPr>
    <w:rPr>
      <w:rFonts w:ascii="Arial" w:hAnsi="Arial" w:eastAsia="Arial Unicode MS" w:cs="Arial"/>
      <w:color w:val="332E2D"/>
      <w:spacing w:val="2"/>
      <w:sz w:val="24"/>
      <w:szCs w:val="24"/>
    </w:rPr>
  </w:style>
  <w:style w:type="paragraph" w:styleId="Revision">
    <w:name w:val="Revision"/>
    <w:uiPriority w:val="99"/>
    <w:semiHidden/>
    <w:qFormat/>
    <w:rsid w:val="00bb18d9"/>
    <w:pPr>
      <w:widowControl/>
      <w:suppressAutoHyphens w:val="true"/>
      <w:bidi w:val="0"/>
      <w:spacing w:before="0" w:after="0"/>
      <w:jc w:val="left"/>
    </w:pPr>
    <w:rPr>
      <w:rFonts w:ascii="Times New Roman" w:hAnsi="Times New Roman" w:eastAsia="Calibri" w:cs="Times New Roman"/>
      <w:color w:val="auto"/>
      <w:kern w:val="0"/>
      <w:sz w:val="24"/>
      <w:szCs w:val="24"/>
      <w:lang w:val="ru-RU" w:eastAsia="ru-RU" w:bidi="ar-SA"/>
    </w:rPr>
  </w:style>
  <w:style w:type="paragraph" w:styleId="33" w:customStyle="1">
    <w:name w:val="Знак Знак3 Знак Знак"/>
    <w:basedOn w:val="Normal"/>
    <w:qFormat/>
    <w:rsid w:val="00bb18d9"/>
    <w:pPr>
      <w:spacing w:lineRule="exact" w:line="240" w:before="0" w:after="160"/>
      <w:jc w:val="both"/>
    </w:pPr>
    <w:rPr>
      <w:rFonts w:ascii="Verdana" w:hAnsi="Verdana" w:cs="Verdana"/>
      <w:lang w:val="en-US"/>
    </w:rPr>
  </w:style>
  <w:style w:type="paragraph" w:styleId="Style32" w:customStyle="1">
    <w:name w:val="Пункт"/>
    <w:basedOn w:val="Normal"/>
    <w:qFormat/>
    <w:rsid w:val="00bb18d9"/>
    <w:pPr>
      <w:widowControl w:val="false"/>
      <w:tabs>
        <w:tab w:val="clear" w:pos="709"/>
        <w:tab w:val="left" w:pos="1134" w:leader="none"/>
      </w:tabs>
      <w:spacing w:lineRule="auto" w:line="360" w:before="120" w:after="0"/>
      <w:ind w:left="1134" w:right="800" w:hanging="1134"/>
      <w:jc w:val="both"/>
    </w:pPr>
    <w:rPr>
      <w:rFonts w:ascii="Arial" w:hAnsi="Arial"/>
      <w:b/>
      <w:i/>
      <w:sz w:val="28"/>
      <w:szCs w:val="20"/>
    </w:rPr>
  </w:style>
  <w:style w:type="paragraph" w:styleId="23" w:customStyle="1">
    <w:name w:val="Абзац списка2"/>
    <w:basedOn w:val="Normal"/>
    <w:qFormat/>
    <w:rsid w:val="00bb18d9"/>
    <w:pPr>
      <w:spacing w:before="0" w:after="200"/>
      <w:ind w:left="720" w:hanging="0"/>
      <w:contextualSpacing/>
    </w:pPr>
    <w:rPr/>
  </w:style>
  <w:style w:type="paragraph" w:styleId="BodyTextIndent">
    <w:name w:val="Body Text Indent"/>
    <w:basedOn w:val="Normal"/>
    <w:link w:val="Style12"/>
    <w:rsid w:val="008757e8"/>
    <w:pPr>
      <w:spacing w:lineRule="auto" w:line="240" w:before="0" w:after="120"/>
      <w:ind w:left="283" w:hanging="0"/>
    </w:pPr>
    <w:rPr>
      <w:rFonts w:ascii="Times New Roman" w:hAnsi="Times New Roman"/>
      <w:sz w:val="28"/>
      <w:szCs w:val="28"/>
    </w:rPr>
  </w:style>
  <w:style w:type="paragraph" w:styleId="Style33" w:customStyle="1">
    <w:name w:val="Знак Знак"/>
    <w:basedOn w:val="Normal"/>
    <w:qFormat/>
    <w:rsid w:val="00d30377"/>
    <w:pPr>
      <w:spacing w:lineRule="exact" w:line="240" w:before="0" w:after="160"/>
    </w:pPr>
    <w:rPr>
      <w:rFonts w:ascii="Verdana" w:hAnsi="Verdana" w:cs="Verdana"/>
      <w:sz w:val="20"/>
      <w:szCs w:val="20"/>
      <w:lang w:val="en-US" w:eastAsia="en-US"/>
    </w:rPr>
  </w:style>
  <w:style w:type="paragraph" w:styleId="TOC3">
    <w:name w:val="TOC 3"/>
    <w:basedOn w:val="Normal"/>
    <w:next w:val="Normal"/>
    <w:autoRedefine/>
    <w:uiPriority w:val="39"/>
    <w:unhideWhenUsed/>
    <w:rsid w:val="00bb55ba"/>
    <w:pPr>
      <w:spacing w:before="0" w:after="100"/>
      <w:ind w:left="440" w:hanging="0"/>
    </w:pPr>
    <w:rPr/>
  </w:style>
  <w:style w:type="paragraph" w:styleId="62" w:customStyle="1">
    <w:name w:val="Основной текст (6)"/>
    <w:basedOn w:val="Normal"/>
    <w:link w:val="61"/>
    <w:qFormat/>
    <w:rsid w:val="00310980"/>
    <w:pPr>
      <w:widowControl w:val="false"/>
      <w:shd w:val="clear" w:color="auto" w:fill="FFFFFF"/>
      <w:spacing w:lineRule="auto" w:line="240" w:before="0" w:after="0"/>
      <w:ind w:firstLine="720"/>
      <w:jc w:val="both"/>
    </w:pPr>
    <w:rPr>
      <w:rFonts w:ascii="Times New Roman" w:hAnsi="Times New Roman"/>
      <w:sz w:val="20"/>
      <w:szCs w:val="20"/>
    </w:rPr>
  </w:style>
  <w:style w:type="paragraph" w:styleId="TableListParagraph" w:customStyle="1">
    <w:name w:val="Table List Paragraph"/>
    <w:basedOn w:val="Normal"/>
    <w:qFormat/>
    <w:rsid w:val="00a270f3"/>
    <w:pPr>
      <w:numPr>
        <w:ilvl w:val="0"/>
        <w:numId w:val="10"/>
      </w:numPr>
      <w:tabs>
        <w:tab w:val="clear" w:pos="709"/>
        <w:tab w:val="left" w:pos="360" w:leader="none"/>
      </w:tabs>
      <w:spacing w:lineRule="auto" w:line="240" w:before="0" w:after="0"/>
      <w:jc w:val="both"/>
    </w:pPr>
    <w:rPr>
      <w:rFonts w:ascii="Times New Roman" w:hAnsi="Times New Roman"/>
      <w:sz w:val="24"/>
      <w:szCs w:val="24"/>
    </w:rPr>
  </w:style>
  <w:style w:type="paragraph" w:styleId="ConsPlusNonformat" w:customStyle="1">
    <w:name w:val="ConsPlusNonformat"/>
    <w:basedOn w:val="Normal"/>
    <w:qFormat/>
    <w:rsid w:val="000753e1"/>
    <w:pPr>
      <w:spacing w:lineRule="auto" w:line="240" w:before="0" w:after="0"/>
    </w:pPr>
    <w:rPr>
      <w:rFonts w:ascii="Courier New" w:hAnsi="Courier New" w:eastAsia="Calibri" w:cs="Courier New" w:eastAsiaTheme="minorHAnsi"/>
      <w:sz w:val="20"/>
      <w:szCs w:val="20"/>
    </w:rPr>
  </w:style>
  <w:style w:type="paragraph" w:styleId="Dt-p" w:customStyle="1">
    <w:name w:val="dt-p"/>
    <w:basedOn w:val="Normal"/>
    <w:qFormat/>
    <w:rsid w:val="00a05152"/>
    <w:pPr>
      <w:spacing w:lineRule="auto" w:line="240" w:beforeAutospacing="1" w:afterAutospacing="1"/>
    </w:pPr>
    <w:rPr>
      <w:rFonts w:ascii="Times New Roman" w:hAnsi="Times New Roman"/>
      <w:sz w:val="24"/>
      <w:szCs w:val="24"/>
    </w:rPr>
  </w:style>
  <w:style w:type="paragraph" w:styleId="EndnoteText">
    <w:name w:val="Endnote Text"/>
    <w:basedOn w:val="Normal"/>
    <w:link w:val="Style16"/>
    <w:uiPriority w:val="99"/>
    <w:semiHidden/>
    <w:unhideWhenUsed/>
    <w:rsid w:val="00dc37db"/>
    <w:pPr>
      <w:spacing w:lineRule="auto" w:line="240" w:before="0" w:after="0"/>
    </w:pPr>
    <w:rPr>
      <w:sz w:val="20"/>
      <w:szCs w:val="20"/>
    </w:rPr>
  </w:style>
  <w:style w:type="paragraph" w:styleId="Style34" w:customStyle="1">
    <w:name w:val="РГ_номер текста табл"/>
    <w:basedOn w:val="ListParagraph"/>
    <w:link w:val="Style18"/>
    <w:qFormat/>
    <w:rsid w:val="00470434"/>
    <w:pPr>
      <w:numPr>
        <w:ilvl w:val="0"/>
        <w:numId w:val="11"/>
      </w:numPr>
      <w:spacing w:lineRule="auto" w:line="240" w:before="0" w:after="0"/>
      <w:contextualSpacing/>
      <w:jc w:val="both"/>
    </w:pPr>
    <w:rPr>
      <w:rFonts w:ascii="Calibri" w:hAnsi="Calibri" w:eastAsia="Calibri" w:cs="Calibri" w:asciiTheme="minorHAnsi" w:cstheme="minorHAnsi" w:hAnsiTheme="minorHAnsi"/>
      <w:sz w:val="24"/>
      <w:lang w:eastAsia="en-US"/>
    </w:rPr>
  </w:style>
  <w:style w:type="paragraph" w:styleId="111" w:customStyle="1">
    <w:name w:val="1.1. таблица"/>
    <w:basedOn w:val="Style34"/>
    <w:qFormat/>
    <w:rsid w:val="00470434"/>
    <w:pPr>
      <w:numPr>
        <w:ilvl w:val="1"/>
      </w:numPr>
      <w:tabs>
        <w:tab w:val="clear" w:pos="709"/>
      </w:tabs>
      <w:ind w:left="1440" w:hanging="360"/>
    </w:pPr>
    <w:rPr/>
  </w:style>
  <w:style w:type="paragraph" w:styleId="Xmsolistparagraph" w:customStyle="1">
    <w:name w:val="x_msolistparagraph"/>
    <w:basedOn w:val="Normal"/>
    <w:qFormat/>
    <w:rsid w:val="001d51d9"/>
    <w:pPr>
      <w:spacing w:lineRule="auto" w:line="240" w:beforeAutospacing="1" w:afterAutospacing="1"/>
    </w:pPr>
    <w:rPr>
      <w:rFonts w:ascii="Times New Roman" w:hAnsi="Times New Roman"/>
      <w:sz w:val="24"/>
      <w:szCs w:val="24"/>
    </w:rPr>
  </w:style>
  <w:style w:type="paragraph" w:styleId="Style35">
    <w:name w:val="Содержимое врезки"/>
    <w:basedOn w:val="Normal"/>
    <w:qFormat/>
    <w:pPr/>
    <w:rPr/>
  </w:style>
  <w:style w:type="paragraph" w:styleId="HEADERTEXT">
    <w:name w:val=".HEADERTEXT"/>
    <w:qFormat/>
    <w:pPr>
      <w:widowControl w:val="false"/>
      <w:suppressAutoHyphens w:val="true"/>
      <w:bidi w:val="0"/>
      <w:spacing w:before="0" w:after="0"/>
      <w:jc w:val="left"/>
    </w:pPr>
    <w:rPr>
      <w:rFonts w:ascii="Arial" w:hAnsi="Arial" w:eastAsia="NSimSun" w:cs="Arial"/>
      <w:color w:val="2B4279"/>
      <w:kern w:val="0"/>
      <w:sz w:val="20"/>
      <w:szCs w:val="20"/>
      <w:lang w:val="ru-RU" w:eastAsia="ru-RU" w:bidi="ar-SA"/>
    </w:rPr>
  </w:style>
  <w:style w:type="paragraph" w:styleId="FORMATTEXT">
    <w:name w:val=".FORMATTEXT"/>
    <w:qFormat/>
    <w:pPr>
      <w:widowControl w:val="false"/>
      <w:suppressAutoHyphens w:val="true"/>
      <w:bidi w:val="0"/>
      <w:spacing w:before="0" w:after="0"/>
      <w:jc w:val="left"/>
    </w:pPr>
    <w:rPr>
      <w:rFonts w:ascii="Arial" w:hAnsi="Arial" w:eastAsia="NSimSun" w:cs="Arial"/>
      <w:color w:val="auto"/>
      <w:kern w:val="0"/>
      <w:sz w:val="20"/>
      <w:szCs w:val="20"/>
      <w:lang w:val="ru-RU" w:eastAsia="ru-RU" w:bidi="ar-SA"/>
    </w:rPr>
  </w:style>
  <w:style w:type="paragraph" w:styleId="Style36">
    <w:name w:val="Содержимое таблицы"/>
    <w:basedOn w:val="Normal"/>
    <w:qFormat/>
    <w:pPr>
      <w:widowControl w:val="false"/>
      <w:suppressLineNumbers/>
    </w:pPr>
    <w:rPr/>
  </w:style>
  <w:style w:type="paragraph" w:styleId="Style37">
    <w:name w:val="Заголовок таблицы"/>
    <w:basedOn w:val="Style36"/>
    <w:qFormat/>
    <w:pPr>
      <w:suppressLineNumbers/>
      <w:jc w:val="center"/>
    </w:pPr>
    <w:rPr>
      <w:b/>
      <w:bCs/>
    </w:rPr>
  </w:style>
  <w:style w:type="numbering" w:styleId="NoList" w:default="1">
    <w:name w:val="No List"/>
    <w:uiPriority w:val="99"/>
    <w:semiHidden/>
    <w:unhideWhenUsed/>
    <w:qFormat/>
  </w:style>
  <w:style w:type="table" w:default="1" w:styleId="a6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af">
    <w:name w:val="Table Grid"/>
    <w:basedOn w:val="a6"/>
    <w:uiPriority w:val="39"/>
    <w:rsid w:val="00b9183a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oter" Target="footer1.xml"/><Relationship Id="rId3" Type="http://schemas.openxmlformats.org/officeDocument/2006/relationships/package" Target="embeddings/oleObject1.xlsx"/><Relationship Id="rId4" Type="http://schemas.openxmlformats.org/officeDocument/2006/relationships/image" Target="media/image1.wmf"/><Relationship Id="rId5" Type="http://schemas.openxmlformats.org/officeDocument/2006/relationships/footer" Target="footer2.xml"/><Relationship Id="rId6" Type="http://schemas.openxmlformats.org/officeDocument/2006/relationships/footer" Target="footer3.xml"/><Relationship Id="rId7" Type="http://schemas.openxmlformats.org/officeDocument/2006/relationships/package" Target="embeddings/oleObject2.xlsx"/><Relationship Id="rId8" Type="http://schemas.openxmlformats.org/officeDocument/2006/relationships/image" Target="media/image2.wmf"/><Relationship Id="rId9" Type="http://schemas.openxmlformats.org/officeDocument/2006/relationships/footer" Target="footer4.xml"/><Relationship Id="rId10" Type="http://schemas.openxmlformats.org/officeDocument/2006/relationships/footer" Target="footer5.xml"/><Relationship Id="rId11" Type="http://schemas.openxmlformats.org/officeDocument/2006/relationships/footer" Target="footer6.xml"/><Relationship Id="rId12" Type="http://schemas.openxmlformats.org/officeDocument/2006/relationships/footer" Target="footer7.xml"/><Relationship Id="rId13" Type="http://schemas.openxmlformats.org/officeDocument/2006/relationships/footer" Target="footer8.xml"/><Relationship Id="rId14" Type="http://schemas.openxmlformats.org/officeDocument/2006/relationships/footer" Target="footer9.xml"/><Relationship Id="rId15" Type="http://schemas.openxmlformats.org/officeDocument/2006/relationships/footer" Target="footer10.xml"/><Relationship Id="rId16" Type="http://schemas.openxmlformats.org/officeDocument/2006/relationships/footer" Target="footer11.xml"/><Relationship Id="rId17" Type="http://schemas.openxmlformats.org/officeDocument/2006/relationships/footer" Target="footer12.xml"/><Relationship Id="rId18" Type="http://schemas.openxmlformats.org/officeDocument/2006/relationships/footer" Target="footer13.xml"/><Relationship Id="rId19" Type="http://schemas.openxmlformats.org/officeDocument/2006/relationships/hyperlink" Target="./3&#1055;" TargetMode="External"/><Relationship Id="rId20" Type="http://schemas.openxmlformats.org/officeDocument/2006/relationships/footer" Target="footer14.xml"/><Relationship Id="rId21" Type="http://schemas.openxmlformats.org/officeDocument/2006/relationships/footer" Target="footer15.xml"/><Relationship Id="rId22" Type="http://schemas.openxmlformats.org/officeDocument/2006/relationships/hyperlink" Target="consultantplus://offline/ref=B32CDE0E905E401B1BFF323EF993DB2C6865F0A971913444C3F7F56C5AF257E783F32977DF4E2DA4F5ACBC60359FF614F9C1315096B586250A26N" TargetMode="External"/><Relationship Id="rId23" Type="http://schemas.openxmlformats.org/officeDocument/2006/relationships/hyperlink" Target="consultantplus://offline/ref=B32CDE0E905E401B1BFF323EF993DB2C6F6DF7AA75973444C3F7F56C5AF257E783F32977DC422FF8A5E3BD3C70CDE515FFC133518A0B25N" TargetMode="External"/><Relationship Id="rId24" Type="http://schemas.openxmlformats.org/officeDocument/2006/relationships/hyperlink" Target="consultantplus://offline/ref=B32CDE0E905E401B1BFF323EF993DB2C6865F0A971913444C3F7F56C5AF257E783F32977DF4D24ACF0ACBC60359FF614F9C1315096B586250A26N" TargetMode="External"/><Relationship Id="rId25" Type="http://schemas.openxmlformats.org/officeDocument/2006/relationships/hyperlink" Target="consultantplus://offline/ref=B32CDE0E905E401B1BFF323EF993DB2C6F62F6A7789C3444C3F7F56C5AF257E783F32977DF4B25AAFDACBC60359FF614F9C1315096B586250A26N" TargetMode="External"/><Relationship Id="rId26" Type="http://schemas.openxmlformats.org/officeDocument/2006/relationships/hyperlink" Target="consultantplus://offline/ref=B32CDE0E905E401B1BFF323EF993DB2C6F6DF7AA75973444C3F7F56C5AF257E783F32974D8482DA7A0F6AC647CCBFC0BFEDE2F5388B50824N" TargetMode="External"/><Relationship Id="rId27" Type="http://schemas.openxmlformats.org/officeDocument/2006/relationships/footer" Target="footer16.xml"/><Relationship Id="rId28" Type="http://schemas.openxmlformats.org/officeDocument/2006/relationships/footer" Target="footer17.xml"/><Relationship Id="rId29" Type="http://schemas.openxmlformats.org/officeDocument/2006/relationships/footer" Target="footer18.xml"/><Relationship Id="rId30" Type="http://schemas.openxmlformats.org/officeDocument/2006/relationships/footer" Target="footer19.xml"/><Relationship Id="rId31" Type="http://schemas.openxmlformats.org/officeDocument/2006/relationships/footer" Target="footer20.xml"/><Relationship Id="rId32" Type="http://schemas.openxmlformats.org/officeDocument/2006/relationships/footer" Target="footer21.xml"/><Relationship Id="rId33" Type="http://schemas.openxmlformats.org/officeDocument/2006/relationships/package" Target="embeddings/oleObject3.xlsx"/><Relationship Id="rId34" Type="http://schemas.openxmlformats.org/officeDocument/2006/relationships/image" Target="media/image3.wmf"/><Relationship Id="rId35" Type="http://schemas.openxmlformats.org/officeDocument/2006/relationships/footer" Target="footer22.xml"/><Relationship Id="rId36" Type="http://schemas.openxmlformats.org/officeDocument/2006/relationships/footer" Target="footer23.xml"/><Relationship Id="rId37" Type="http://schemas.openxmlformats.org/officeDocument/2006/relationships/package" Target="embeddings/oleObject4.xlsx"/><Relationship Id="rId38" Type="http://schemas.openxmlformats.org/officeDocument/2006/relationships/image" Target="media/image4.wmf"/><Relationship Id="rId39" Type="http://schemas.openxmlformats.org/officeDocument/2006/relationships/footer" Target="footer24.xml"/><Relationship Id="rId40" Type="http://schemas.openxmlformats.org/officeDocument/2006/relationships/footer" Target="footer25.xml"/><Relationship Id="rId41" Type="http://schemas.openxmlformats.org/officeDocument/2006/relationships/package" Target="embeddings/oleObject5.xlsx"/><Relationship Id="rId42" Type="http://schemas.openxmlformats.org/officeDocument/2006/relationships/image" Target="media/image5.bmp"/><Relationship Id="rId43" Type="http://schemas.openxmlformats.org/officeDocument/2006/relationships/footer" Target="footer26.xml"/><Relationship Id="rId44" Type="http://schemas.openxmlformats.org/officeDocument/2006/relationships/footer" Target="footer27.xml"/><Relationship Id="rId45" Type="http://schemas.openxmlformats.org/officeDocument/2006/relationships/footnotes" Target="footnotes.xml"/><Relationship Id="rId46" Type="http://schemas.openxmlformats.org/officeDocument/2006/relationships/numbering" Target="numbering.xml"/><Relationship Id="rId47" Type="http://schemas.openxmlformats.org/officeDocument/2006/relationships/fontTable" Target="fontTable.xml"/><Relationship Id="rId48" Type="http://schemas.openxmlformats.org/officeDocument/2006/relationships/settings" Target="settings.xml"/><Relationship Id="rId49" Type="http://schemas.openxmlformats.org/officeDocument/2006/relationships/theme" Target="theme/theme1.xml"/><Relationship Id="rId50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22405F-4D95-4B3D-A0E0-62E3909EF7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116</TotalTime>
  <Application>AlterOffice/3.4.0.9$Linux_X86_64 LibreOffice_project/b8daf9e823b1a5463a2f48435ddc2e8696e7d4fc</Application>
  <AppVersion>15.0000</AppVersion>
  <Pages>26</Pages>
  <Words>5628</Words>
  <Characters>39502</Characters>
  <CharactersWithSpaces>42236</CharactersWithSpaces>
  <Paragraphs>858</Paragraphs>
  <Company>####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2025-10-15T16:39:00Z</dcterms:created>
  <dc:creator>Торопов Денис Владимирович</dc:creator>
  <dc:description/>
  <dc:language>ru-RU</dc:language>
  <cp:lastModifiedBy>kartamysheva_gl</cp:lastModifiedBy>
  <cp:lastPrinted>2021-07-09T09:18:00Z</cp:lastPrinted>
  <dcterms:modified xsi:type="dcterms:W3CDTF">2026-06-09T10:13:42Z</dcterms:modified>
  <cp:revision>24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EDOID">
    <vt:i4>0</vt:i4>
  </property>
</Properties>
</file>